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p>
    <w:p>
      <w:pPr>
        <w:ind w:firstLine="2401" w:firstLineChars="500"/>
        <w:rPr>
          <w:rFonts w:ascii="宋体"/>
          <w:b/>
          <w:bCs/>
          <w:sz w:val="36"/>
          <w:szCs w:val="28"/>
        </w:rPr>
      </w:pPr>
      <w:r>
        <w:rPr>
          <w:rFonts w:hint="eastAsia" w:eastAsia="隶书"/>
          <w:b/>
          <w:bCs/>
          <w:sz w:val="48"/>
        </w:rPr>
        <w:t>嘉庚创新实验室</w:t>
      </w:r>
    </w:p>
    <w:p>
      <w:pPr>
        <w:jc w:val="center"/>
        <w:outlineLvl w:val="0"/>
        <w:rPr>
          <w:rFonts w:eastAsia="隶书"/>
          <w:b/>
          <w:bCs/>
          <w:sz w:val="84"/>
        </w:rPr>
      </w:pPr>
      <w:r>
        <w:rPr>
          <w:rFonts w:hint="eastAsia" w:eastAsia="隶书"/>
          <w:b/>
          <w:bCs/>
          <w:sz w:val="84"/>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jc w:val="center"/>
        <w:rPr>
          <w:rFonts w:eastAsia="隶书"/>
          <w:b/>
          <w:bCs/>
          <w:sz w:val="44"/>
        </w:rPr>
      </w:pPr>
      <w:r>
        <w:rPr>
          <w:rFonts w:eastAsia="隶书"/>
          <w:b/>
          <w:bCs/>
          <w:sz w:val="44"/>
        </w:rPr>
        <w:t xml:space="preserve"> </w:t>
      </w:r>
      <w:r>
        <w:rPr>
          <w:rFonts w:hint="eastAsia" w:eastAsia="隶书"/>
          <w:b/>
          <w:bCs/>
          <w:sz w:val="44"/>
        </w:rPr>
        <w:t>采购项目</w:t>
      </w:r>
    </w:p>
    <w:p>
      <w:pPr>
        <w:jc w:val="center"/>
        <w:rPr>
          <w:rFonts w:eastAsia="隶书"/>
          <w:b/>
          <w:bCs/>
          <w:sz w:val="44"/>
        </w:rPr>
      </w:pPr>
    </w:p>
    <w:p>
      <w:pPr>
        <w:jc w:val="center"/>
        <w:rPr>
          <w:rFonts w:eastAsia="隶书"/>
          <w:b/>
          <w:bCs/>
          <w:sz w:val="44"/>
        </w:rPr>
      </w:pPr>
      <w:r>
        <w:rPr>
          <w:rFonts w:hint="eastAsia" w:eastAsia="隶书"/>
          <w:b/>
          <w:bCs/>
          <w:sz w:val="44"/>
        </w:rPr>
        <w:t xml:space="preserve"> 真空钎焊炉</w:t>
      </w:r>
    </w:p>
    <w:p>
      <w:pPr>
        <w:jc w:val="center"/>
        <w:outlineLvl w:val="0"/>
        <w:rPr>
          <w:rFonts w:ascii="宋体" w:hAnsi="宋体"/>
          <w:b/>
          <w:bCs/>
          <w:sz w:val="28"/>
          <w:szCs w:val="28"/>
        </w:rPr>
      </w:pPr>
      <w:r>
        <w:rPr>
          <w:rFonts w:hint="eastAsia"/>
          <w:b/>
          <w:bCs/>
          <w:sz w:val="36"/>
        </w:rPr>
        <w:t>采购编号：JGYQ-2023TP-015</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outlineLvl w:val="0"/>
        <w:rPr>
          <w:rFonts w:eastAsia="隶书"/>
          <w:b/>
          <w:bCs/>
          <w:sz w:val="44"/>
        </w:rPr>
      </w:pPr>
      <w:r>
        <w:rPr>
          <w:rFonts w:hint="eastAsia" w:eastAsia="隶书"/>
          <w:b/>
          <w:bCs/>
          <w:sz w:val="44"/>
        </w:rPr>
        <w:t>嘉庚创新实验室资采室</w:t>
      </w:r>
    </w:p>
    <w:p>
      <w:pPr>
        <w:jc w:val="center"/>
        <w:rPr>
          <w:rFonts w:ascii="隶书" w:eastAsia="隶书"/>
          <w:b/>
          <w:bCs/>
          <w:sz w:val="36"/>
        </w:rPr>
      </w:pPr>
      <w:r>
        <w:rPr>
          <w:rFonts w:ascii="隶书" w:eastAsia="隶书"/>
          <w:b/>
          <w:bCs/>
          <w:sz w:val="36"/>
        </w:rPr>
        <w:t>20</w:t>
      </w:r>
      <w:r>
        <w:rPr>
          <w:rFonts w:hint="eastAsia" w:ascii="隶书" w:eastAsia="隶书"/>
          <w:b/>
          <w:bCs/>
          <w:sz w:val="36"/>
        </w:rPr>
        <w:t>23年7月26日</w:t>
      </w:r>
    </w:p>
    <w:p>
      <w:pPr>
        <w:spacing w:line="540" w:lineRule="exact"/>
        <w:jc w:val="center"/>
        <w:outlineLvl w:val="0"/>
        <w:rPr>
          <w:rFonts w:ascii="宋体"/>
          <w:b/>
          <w:bCs/>
          <w:sz w:val="28"/>
          <w:szCs w:val="28"/>
        </w:rPr>
      </w:pPr>
      <w:r>
        <w:br w:type="page"/>
      </w:r>
      <w:r>
        <w:rPr>
          <w:rFonts w:hint="eastAsia"/>
          <w:b/>
          <w:bCs/>
          <w:sz w:val="36"/>
        </w:rPr>
        <w:t>第一章  磋商邀请</w:t>
      </w:r>
    </w:p>
    <w:p>
      <w:pPr>
        <w:spacing w:line="360" w:lineRule="auto"/>
        <w:ind w:firstLine="560" w:firstLineChars="200"/>
        <w:rPr>
          <w:rFonts w:ascii="宋体" w:hAnsi="宋体"/>
          <w:sz w:val="28"/>
          <w:szCs w:val="28"/>
        </w:rPr>
      </w:pPr>
      <w:r>
        <w:rPr>
          <w:rFonts w:hint="eastAsia" w:ascii="宋体" w:hAnsi="宋体"/>
          <w:sz w:val="28"/>
          <w:szCs w:val="28"/>
        </w:rPr>
        <w:t>嘉庚创新实验室资采室受学校采购领导小组的委托，以磋商谈判形式就真空钎焊炉项目进行采购，欢迎具备相应资格条件的供应商参加磋商。</w:t>
      </w:r>
    </w:p>
    <w:p>
      <w:pPr>
        <w:numPr>
          <w:ilvl w:val="0"/>
          <w:numId w:val="1"/>
        </w:numPr>
        <w:spacing w:line="360" w:lineRule="auto"/>
        <w:rPr>
          <w:rFonts w:ascii="宋体" w:hAnsi="宋体"/>
          <w:sz w:val="28"/>
          <w:szCs w:val="28"/>
        </w:rPr>
      </w:pPr>
      <w:r>
        <w:rPr>
          <w:rFonts w:hint="eastAsia" w:ascii="宋体" w:hAnsi="宋体"/>
          <w:sz w:val="28"/>
          <w:szCs w:val="28"/>
        </w:rPr>
        <w:t>采购编号：JGYQ-2023TP-015</w:t>
      </w:r>
    </w:p>
    <w:p>
      <w:pPr>
        <w:numPr>
          <w:ilvl w:val="0"/>
          <w:numId w:val="1"/>
        </w:numPr>
        <w:spacing w:line="360" w:lineRule="auto"/>
        <w:rPr>
          <w:rFonts w:ascii="宋体"/>
          <w:sz w:val="28"/>
          <w:szCs w:val="28"/>
        </w:rPr>
      </w:pPr>
      <w:r>
        <w:rPr>
          <w:rFonts w:hint="eastAsia" w:ascii="宋体" w:hAnsi="宋体"/>
          <w:sz w:val="28"/>
          <w:szCs w:val="28"/>
        </w:rPr>
        <w:t>采购项目：嘉庚创新实验室真空钎焊炉</w:t>
      </w:r>
    </w:p>
    <w:p>
      <w:pPr>
        <w:numPr>
          <w:ilvl w:val="0"/>
          <w:numId w:val="1"/>
        </w:numPr>
        <w:spacing w:line="360" w:lineRule="auto"/>
        <w:rPr>
          <w:rFonts w:ascii="宋体"/>
          <w:sz w:val="28"/>
          <w:szCs w:val="28"/>
        </w:rPr>
      </w:pPr>
      <w:r>
        <w:rPr>
          <w:rFonts w:hint="eastAsia" w:ascii="宋体" w:hAnsi="宋体"/>
          <w:sz w:val="28"/>
          <w:szCs w:val="28"/>
        </w:rPr>
        <w:t>供货地点：厦门大学翔安校区</w:t>
      </w:r>
    </w:p>
    <w:p>
      <w:pPr>
        <w:numPr>
          <w:ilvl w:val="0"/>
          <w:numId w:val="1"/>
        </w:numPr>
        <w:spacing w:line="360" w:lineRule="auto"/>
        <w:rPr>
          <w:rFonts w:ascii="宋体"/>
          <w:b/>
          <w:sz w:val="28"/>
          <w:szCs w:val="28"/>
        </w:rPr>
      </w:pPr>
      <w:r>
        <w:rPr>
          <w:rFonts w:hint="eastAsia" w:ascii="宋体"/>
          <w:b/>
          <w:sz w:val="28"/>
          <w:szCs w:val="28"/>
        </w:rPr>
        <w:t>预算控制价：</w:t>
      </w:r>
      <w:r>
        <w:rPr>
          <w:rFonts w:hint="eastAsia"/>
          <w:b/>
          <w:sz w:val="28"/>
          <w:szCs w:val="28"/>
        </w:rPr>
        <w:t>99.5万元</w:t>
      </w:r>
    </w:p>
    <w:p>
      <w:pPr>
        <w:numPr>
          <w:ilvl w:val="0"/>
          <w:numId w:val="1"/>
        </w:numPr>
        <w:spacing w:line="360" w:lineRule="auto"/>
        <w:rPr>
          <w:b/>
          <w:sz w:val="28"/>
          <w:szCs w:val="28"/>
        </w:rPr>
      </w:pPr>
      <w:r>
        <w:rPr>
          <w:rFonts w:hint="eastAsia"/>
          <w:b/>
          <w:sz w:val="28"/>
          <w:szCs w:val="28"/>
        </w:rPr>
        <w:t>报价截止和磋商时间：</w:t>
      </w:r>
      <w:r>
        <w:rPr>
          <w:b/>
          <w:sz w:val="28"/>
          <w:szCs w:val="28"/>
        </w:rPr>
        <w:t>20</w:t>
      </w:r>
      <w:r>
        <w:rPr>
          <w:rFonts w:hint="eastAsia"/>
          <w:b/>
          <w:sz w:val="28"/>
          <w:szCs w:val="28"/>
        </w:rPr>
        <w:t>23年8月10日上午10:00</w:t>
      </w:r>
    </w:p>
    <w:p>
      <w:pPr>
        <w:numPr>
          <w:ilvl w:val="0"/>
          <w:numId w:val="1"/>
        </w:numPr>
        <w:spacing w:line="360" w:lineRule="auto"/>
        <w:rPr>
          <w:rFonts w:ascii="宋体"/>
          <w:sz w:val="28"/>
          <w:szCs w:val="28"/>
        </w:rPr>
      </w:pPr>
      <w:r>
        <w:rPr>
          <w:rFonts w:hint="eastAsia" w:ascii="宋体" w:hAnsi="宋体"/>
          <w:sz w:val="28"/>
          <w:szCs w:val="28"/>
        </w:rPr>
        <w:t>磋商谈判文件发售（免费下载）及报名截至时间：报名以邮件进行报名（报名函加盖公司公章发送至指定邮箱，报名函格式见附件格式5）。</w:t>
      </w:r>
    </w:p>
    <w:p>
      <w:pPr>
        <w:numPr>
          <w:ilvl w:val="0"/>
          <w:numId w:val="1"/>
        </w:numPr>
        <w:spacing w:line="360" w:lineRule="auto"/>
        <w:rPr>
          <w:rFonts w:ascii="宋体"/>
          <w:sz w:val="28"/>
          <w:szCs w:val="28"/>
        </w:rPr>
      </w:pPr>
      <w:r>
        <w:rPr>
          <w:rFonts w:hint="eastAsia" w:ascii="宋体" w:hAnsi="宋体"/>
          <w:sz w:val="28"/>
          <w:szCs w:val="28"/>
        </w:rPr>
        <w:t>开标地点：厦门大学翔安校区能源材料大楼3号楼二楼开标室</w:t>
      </w:r>
    </w:p>
    <w:p>
      <w:pPr>
        <w:numPr>
          <w:ilvl w:val="0"/>
          <w:numId w:val="1"/>
        </w:numPr>
        <w:spacing w:line="360" w:lineRule="auto"/>
        <w:rPr>
          <w:rFonts w:ascii="宋体"/>
          <w:sz w:val="28"/>
          <w:szCs w:val="28"/>
        </w:rPr>
      </w:pPr>
      <w:r>
        <w:rPr>
          <w:rFonts w:hint="eastAsia" w:ascii="宋体" w:hAnsi="宋体"/>
          <w:sz w:val="28"/>
          <w:szCs w:val="28"/>
        </w:rPr>
        <w:t>本批采购的咨询联系人</w:t>
      </w:r>
    </w:p>
    <w:p>
      <w:pPr>
        <w:tabs>
          <w:tab w:val="left" w:pos="720"/>
        </w:tabs>
        <w:spacing w:line="360" w:lineRule="auto"/>
        <w:ind w:left="720"/>
        <w:rPr>
          <w:rFonts w:ascii="宋体" w:hAnsi="宋体"/>
          <w:sz w:val="28"/>
          <w:szCs w:val="28"/>
        </w:rPr>
      </w:pPr>
      <w:r>
        <w:rPr>
          <w:rFonts w:hint="eastAsia" w:ascii="宋体" w:hAnsi="宋体"/>
          <w:sz w:val="28"/>
          <w:szCs w:val="28"/>
        </w:rPr>
        <w:t xml:space="preserve">技术需求方面请联系用户单位：张老师 </w:t>
      </w:r>
      <w:r>
        <w:rPr>
          <w:rFonts w:ascii="宋体" w:hAnsi="宋体"/>
          <w:sz w:val="28"/>
          <w:szCs w:val="28"/>
        </w:rPr>
        <w:t>15999500662</w:t>
      </w:r>
    </w:p>
    <w:p>
      <w:pPr>
        <w:spacing w:line="360" w:lineRule="auto"/>
        <w:ind w:left="720"/>
        <w:rPr>
          <w:rFonts w:ascii="宋体"/>
          <w:sz w:val="28"/>
          <w:szCs w:val="28"/>
        </w:rPr>
      </w:pPr>
      <w:r>
        <w:rPr>
          <w:rFonts w:hint="eastAsia" w:ascii="宋体" w:hAnsi="宋体"/>
          <w:sz w:val="28"/>
          <w:szCs w:val="28"/>
        </w:rPr>
        <w:t>磋商报名等方面请联系：贺老师</w:t>
      </w:r>
    </w:p>
    <w:p>
      <w:pPr>
        <w:pStyle w:val="33"/>
        <w:spacing w:line="360" w:lineRule="auto"/>
        <w:rPr>
          <w:rFonts w:ascii="宋体" w:hAnsi="宋体" w:cs="宋体"/>
          <w:sz w:val="28"/>
          <w:szCs w:val="28"/>
        </w:rPr>
      </w:pPr>
      <w:r>
        <w:rPr>
          <w:rFonts w:hint="eastAsia" w:ascii="宋体" w:hAnsi="宋体" w:cs="宋体"/>
          <w:sz w:val="28"/>
          <w:szCs w:val="28"/>
        </w:rPr>
        <w:t xml:space="preserve">     电话：0592-2882502</w:t>
      </w:r>
    </w:p>
    <w:p>
      <w:pPr>
        <w:pStyle w:val="33"/>
        <w:spacing w:line="360" w:lineRule="auto"/>
        <w:ind w:firstLine="560"/>
        <w:rPr>
          <w:sz w:val="28"/>
          <w:szCs w:val="28"/>
        </w:rPr>
      </w:pPr>
      <w:r>
        <w:rPr>
          <w:rFonts w:hint="eastAsia" w:ascii="宋体" w:hAnsi="宋体" w:cs="宋体"/>
          <w:sz w:val="28"/>
          <w:szCs w:val="28"/>
        </w:rPr>
        <w:t xml:space="preserve"> 邮箱：</w:t>
      </w:r>
      <w:r>
        <w:rPr>
          <w:rFonts w:hint="eastAsia"/>
          <w:sz w:val="28"/>
          <w:szCs w:val="28"/>
        </w:rPr>
        <w:t>zyhe</w:t>
      </w:r>
      <w:r>
        <w:rPr>
          <w:sz w:val="28"/>
          <w:szCs w:val="28"/>
        </w:rPr>
        <w:t>@xmu.edu.cn</w:t>
      </w:r>
    </w:p>
    <w:p>
      <w:pPr>
        <w:pStyle w:val="33"/>
        <w:spacing w:line="360" w:lineRule="auto"/>
        <w:ind w:firstLine="560"/>
        <w:rPr>
          <w:rFonts w:ascii="宋体" w:hAnsi="宋体" w:cs="宋体"/>
          <w:sz w:val="28"/>
          <w:szCs w:val="28"/>
        </w:rPr>
      </w:pPr>
    </w:p>
    <w:p>
      <w:pPr>
        <w:spacing w:line="360" w:lineRule="auto"/>
        <w:ind w:left="720"/>
        <w:rPr>
          <w:rFonts w:ascii="宋体" w:hAnsi="宋体"/>
          <w:sz w:val="28"/>
          <w:szCs w:val="28"/>
        </w:rPr>
      </w:pPr>
      <w:r>
        <w:rPr>
          <w:rFonts w:ascii="宋体" w:hAnsi="宋体"/>
          <w:sz w:val="28"/>
          <w:szCs w:val="28"/>
        </w:rPr>
        <w:t xml:space="preserve">                              </w:t>
      </w:r>
      <w:r>
        <w:rPr>
          <w:rFonts w:hint="eastAsia" w:ascii="宋体" w:hAnsi="宋体"/>
          <w:sz w:val="28"/>
          <w:szCs w:val="28"/>
        </w:rPr>
        <w:t xml:space="preserve"> 嘉庚创新实验室资采室</w:t>
      </w:r>
    </w:p>
    <w:p>
      <w:pPr>
        <w:spacing w:line="360" w:lineRule="auto"/>
        <w:ind w:left="720"/>
        <w:rPr>
          <w:rFonts w:ascii="宋体" w:hAnsi="宋体"/>
          <w:sz w:val="28"/>
          <w:szCs w:val="28"/>
        </w:rPr>
      </w:pPr>
      <w:r>
        <w:rPr>
          <w:rFonts w:ascii="宋体" w:hAnsi="宋体"/>
          <w:sz w:val="28"/>
          <w:szCs w:val="28"/>
        </w:rPr>
        <w:t xml:space="preserve">                                 </w:t>
      </w:r>
    </w:p>
    <w:p>
      <w:pPr>
        <w:spacing w:line="360" w:lineRule="auto"/>
        <w:ind w:left="720"/>
        <w:rPr>
          <w:rFonts w:ascii="宋体" w:hAnsi="宋体"/>
          <w:sz w:val="28"/>
          <w:szCs w:val="28"/>
        </w:rPr>
      </w:pPr>
    </w:p>
    <w:p>
      <w:pPr>
        <w:ind w:firstLine="640" w:firstLineChars="200"/>
        <w:jc w:val="center"/>
        <w:rPr>
          <w:sz w:val="28"/>
          <w:szCs w:val="28"/>
        </w:rPr>
      </w:pPr>
      <w:r>
        <w:rPr>
          <w:rFonts w:hint="eastAsia" w:ascii="黑体" w:hAnsi="黑体" w:eastAsia="黑体"/>
          <w:sz w:val="32"/>
          <w:szCs w:val="32"/>
        </w:rPr>
        <w:t>投标人须知前附表</w:t>
      </w:r>
    </w:p>
    <w:tbl>
      <w:tblPr>
        <w:tblStyle w:val="19"/>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15"/>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Cs/>
                <w:szCs w:val="28"/>
              </w:rPr>
            </w:pPr>
            <w:r>
              <w:rPr>
                <w:rFonts w:hint="eastAsia" w:ascii="宋体" w:hAnsi="宋体"/>
                <w:bCs/>
                <w:szCs w:val="28"/>
              </w:rPr>
              <w:t>序号</w:t>
            </w:r>
          </w:p>
        </w:tc>
        <w:tc>
          <w:tcPr>
            <w:tcW w:w="2415" w:type="dxa"/>
            <w:vAlign w:val="center"/>
          </w:tcPr>
          <w:p>
            <w:pPr>
              <w:jc w:val="center"/>
              <w:rPr>
                <w:rFonts w:ascii="宋体" w:hAnsi="宋体"/>
                <w:bCs/>
                <w:szCs w:val="28"/>
              </w:rPr>
            </w:pPr>
            <w:r>
              <w:rPr>
                <w:rFonts w:hint="eastAsia" w:ascii="宋体" w:hAnsi="宋体"/>
                <w:bCs/>
                <w:szCs w:val="28"/>
              </w:rPr>
              <w:t>内容</w:t>
            </w:r>
          </w:p>
        </w:tc>
        <w:tc>
          <w:tcPr>
            <w:tcW w:w="6147" w:type="dxa"/>
            <w:vAlign w:val="center"/>
          </w:tcPr>
          <w:p>
            <w:pPr>
              <w:jc w:val="center"/>
              <w:rPr>
                <w:rFonts w:ascii="宋体" w:hAnsi="宋体"/>
                <w:bCs/>
                <w:szCs w:val="28"/>
              </w:rPr>
            </w:pPr>
            <w:r>
              <w:rPr>
                <w:rFonts w:hint="eastAsia" w:ascii="宋体" w:hAnsi="宋体"/>
                <w:bCs/>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8" w:type="dxa"/>
            <w:vAlign w:val="center"/>
          </w:tcPr>
          <w:p>
            <w:pPr>
              <w:jc w:val="center"/>
              <w:rPr>
                <w:rFonts w:ascii="宋体" w:hAnsi="宋体"/>
                <w:bCs/>
                <w:szCs w:val="28"/>
              </w:rPr>
            </w:pPr>
            <w:r>
              <w:rPr>
                <w:rFonts w:hint="eastAsia" w:ascii="宋体" w:hAnsi="宋体"/>
                <w:bCs/>
                <w:szCs w:val="28"/>
              </w:rPr>
              <w:t>1</w:t>
            </w:r>
          </w:p>
        </w:tc>
        <w:tc>
          <w:tcPr>
            <w:tcW w:w="2415" w:type="dxa"/>
            <w:vAlign w:val="center"/>
          </w:tcPr>
          <w:p>
            <w:pPr>
              <w:pStyle w:val="55"/>
              <w:spacing w:before="156" w:beforeLines="50" w:after="156" w:afterLines="50"/>
              <w:rPr>
                <w:rFonts w:ascii="宋体" w:hAnsi="宋体" w:eastAsia="宋体"/>
                <w:b w:val="0"/>
                <w:sz w:val="21"/>
                <w:szCs w:val="28"/>
              </w:rPr>
            </w:pPr>
            <w:r>
              <w:rPr>
                <w:rFonts w:hint="eastAsia" w:ascii="宋体" w:hAnsi="宋体" w:eastAsia="宋体"/>
                <w:b w:val="0"/>
                <w:sz w:val="21"/>
                <w:szCs w:val="28"/>
              </w:rPr>
              <w:t>项目名称</w:t>
            </w:r>
          </w:p>
        </w:tc>
        <w:tc>
          <w:tcPr>
            <w:tcW w:w="6147" w:type="dxa"/>
            <w:vAlign w:val="center"/>
          </w:tcPr>
          <w:p>
            <w:pPr>
              <w:pStyle w:val="55"/>
              <w:spacing w:before="156" w:beforeLines="50" w:after="156" w:afterLines="50"/>
              <w:rPr>
                <w:rFonts w:ascii="宋体" w:hAnsi="宋体" w:eastAsia="宋体"/>
                <w:sz w:val="21"/>
                <w:szCs w:val="28"/>
              </w:rPr>
            </w:pPr>
            <w:r>
              <w:rPr>
                <w:rFonts w:hint="eastAsia" w:ascii="宋体" w:hAnsi="宋体" w:eastAsia="宋体"/>
                <w:sz w:val="21"/>
                <w:szCs w:val="28"/>
              </w:rPr>
              <w:t>嘉庚创新实验室真空钎焊炉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08" w:type="dxa"/>
            <w:vAlign w:val="center"/>
          </w:tcPr>
          <w:p>
            <w:pPr>
              <w:jc w:val="center"/>
              <w:rPr>
                <w:rFonts w:ascii="宋体" w:hAnsi="宋体"/>
                <w:bCs/>
                <w:szCs w:val="28"/>
              </w:rPr>
            </w:pPr>
            <w:r>
              <w:rPr>
                <w:rFonts w:hint="eastAsia" w:ascii="宋体" w:hAnsi="宋体"/>
                <w:bCs/>
                <w:szCs w:val="28"/>
              </w:rPr>
              <w:t>2</w:t>
            </w:r>
          </w:p>
        </w:tc>
        <w:tc>
          <w:tcPr>
            <w:tcW w:w="2415" w:type="dxa"/>
            <w:vAlign w:val="center"/>
          </w:tcPr>
          <w:p>
            <w:pPr>
              <w:rPr>
                <w:rFonts w:ascii="宋体" w:hAnsi="宋体"/>
                <w:bCs/>
                <w:szCs w:val="28"/>
              </w:rPr>
            </w:pPr>
            <w:r>
              <w:rPr>
                <w:rFonts w:hint="eastAsia" w:ascii="宋体" w:hAnsi="宋体"/>
                <w:bCs/>
                <w:szCs w:val="28"/>
              </w:rPr>
              <w:t>代理商应提交资料</w:t>
            </w:r>
          </w:p>
        </w:tc>
        <w:tc>
          <w:tcPr>
            <w:tcW w:w="6147" w:type="dxa"/>
            <w:vAlign w:val="center"/>
          </w:tcPr>
          <w:p>
            <w:pPr>
              <w:pStyle w:val="56"/>
              <w:spacing w:before="156" w:beforeLines="50" w:after="156" w:afterLines="50"/>
              <w:ind w:left="0"/>
              <w:rPr>
                <w:color w:val="auto"/>
                <w:szCs w:val="21"/>
              </w:rPr>
            </w:pPr>
            <w:r>
              <w:rPr>
                <w:rFonts w:hint="eastAsia"/>
                <w:color w:val="auto"/>
                <w:szCs w:val="21"/>
              </w:rPr>
              <w:t>★进口货物供应商必须提供生产厂家的授权经销代理证书的有效复印件（原件备查）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8" w:type="dxa"/>
            <w:vAlign w:val="center"/>
          </w:tcPr>
          <w:p>
            <w:pPr>
              <w:jc w:val="center"/>
              <w:rPr>
                <w:rFonts w:ascii="宋体" w:hAnsi="宋体"/>
                <w:bCs/>
                <w:szCs w:val="28"/>
              </w:rPr>
            </w:pPr>
            <w:r>
              <w:rPr>
                <w:rFonts w:hint="eastAsia" w:ascii="宋体" w:hAnsi="宋体"/>
                <w:bCs/>
                <w:szCs w:val="28"/>
              </w:rPr>
              <w:t>3</w:t>
            </w:r>
          </w:p>
        </w:tc>
        <w:tc>
          <w:tcPr>
            <w:tcW w:w="2415" w:type="dxa"/>
            <w:vAlign w:val="center"/>
          </w:tcPr>
          <w:p>
            <w:pPr>
              <w:jc w:val="left"/>
              <w:rPr>
                <w:rFonts w:ascii="宋体" w:hAnsi="宋体"/>
                <w:bCs/>
                <w:szCs w:val="28"/>
              </w:rPr>
            </w:pPr>
            <w:r>
              <w:rPr>
                <w:rFonts w:hint="eastAsia" w:ascii="宋体" w:hAnsi="宋体"/>
                <w:bCs/>
                <w:szCs w:val="28"/>
              </w:rPr>
              <w:t>是否允许联合体投标</w:t>
            </w:r>
          </w:p>
        </w:tc>
        <w:tc>
          <w:tcPr>
            <w:tcW w:w="6147" w:type="dxa"/>
            <w:vAlign w:val="center"/>
          </w:tcPr>
          <w:p>
            <w:pPr>
              <w:pStyle w:val="9"/>
              <w:spacing w:before="156" w:beforeLines="50" w:after="156" w:afterLines="50"/>
              <w:rPr>
                <w:rFonts w:hAnsi="宋体"/>
                <w:bCs/>
              </w:rPr>
            </w:pPr>
            <w:r>
              <w:rPr>
                <w:rFonts w:hint="eastAsia" w:hAnsi="宋体"/>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ascii="宋体" w:hAnsi="宋体"/>
                <w:bCs/>
                <w:szCs w:val="28"/>
              </w:rPr>
            </w:pPr>
            <w:r>
              <w:rPr>
                <w:rFonts w:hint="eastAsia" w:ascii="宋体" w:hAnsi="宋体"/>
                <w:bCs/>
                <w:szCs w:val="28"/>
              </w:rPr>
              <w:t>4</w:t>
            </w:r>
          </w:p>
        </w:tc>
        <w:tc>
          <w:tcPr>
            <w:tcW w:w="2415" w:type="dxa"/>
            <w:vAlign w:val="center"/>
          </w:tcPr>
          <w:p>
            <w:pPr>
              <w:rPr>
                <w:rFonts w:ascii="宋体" w:hAnsi="宋体"/>
                <w:b/>
                <w:bCs/>
                <w:szCs w:val="28"/>
              </w:rPr>
            </w:pPr>
            <w:r>
              <w:rPr>
                <w:rFonts w:hint="eastAsia" w:ascii="宋体" w:hAnsi="宋体"/>
                <w:b/>
                <w:bCs/>
                <w:szCs w:val="28"/>
              </w:rPr>
              <w:t>资格性要求</w:t>
            </w:r>
          </w:p>
        </w:tc>
        <w:tc>
          <w:tcPr>
            <w:tcW w:w="6147" w:type="dxa"/>
            <w:vAlign w:val="center"/>
          </w:tcPr>
          <w:p>
            <w:pPr>
              <w:pStyle w:val="9"/>
              <w:tabs>
                <w:tab w:val="left" w:pos="660"/>
              </w:tabs>
              <w:rPr>
                <w:rFonts w:hAnsi="宋体"/>
                <w:bCs/>
              </w:rPr>
            </w:pPr>
            <w:r>
              <w:rPr>
                <w:rFonts w:hint="eastAsia" w:hAnsi="宋体"/>
                <w:bCs/>
              </w:rPr>
              <w:t>1.★投标书；</w:t>
            </w:r>
          </w:p>
          <w:p>
            <w:pPr>
              <w:pStyle w:val="9"/>
              <w:tabs>
                <w:tab w:val="left" w:pos="660"/>
              </w:tabs>
              <w:rPr>
                <w:rFonts w:hAnsi="宋体"/>
                <w:bCs/>
              </w:rPr>
            </w:pPr>
            <w:r>
              <w:rPr>
                <w:rFonts w:hint="eastAsia" w:hAnsi="宋体"/>
                <w:bCs/>
              </w:rPr>
              <w:t>2.★法定代表人授权委托书；</w:t>
            </w:r>
          </w:p>
          <w:p>
            <w:pPr>
              <w:pStyle w:val="9"/>
              <w:tabs>
                <w:tab w:val="left" w:pos="660"/>
              </w:tabs>
              <w:rPr>
                <w:rFonts w:hAnsi="宋体"/>
                <w:bCs/>
              </w:rPr>
            </w:pPr>
            <w:r>
              <w:rPr>
                <w:rFonts w:hint="eastAsia" w:hAnsi="宋体"/>
                <w:bCs/>
              </w:rPr>
              <w:t>3.★营业执照副本复印件，并加盖投标人公章；</w:t>
            </w:r>
          </w:p>
          <w:p>
            <w:pPr>
              <w:pStyle w:val="9"/>
              <w:tabs>
                <w:tab w:val="left" w:pos="660"/>
              </w:tabs>
              <w:ind w:left="210" w:hanging="210" w:hangingChars="100"/>
              <w:rPr>
                <w:rFonts w:hAnsi="宋体"/>
                <w:bCs/>
              </w:rPr>
            </w:pPr>
            <w:r>
              <w:rPr>
                <w:rFonts w:hint="eastAsia" w:hAnsi="宋体"/>
                <w:bCs/>
              </w:rPr>
              <w:t>4.★参加政府采购活动前3年内（开业不足三年的，自开业以来）在经营活动中没有重大违法记录的书面声明；</w:t>
            </w:r>
          </w:p>
          <w:p>
            <w:pPr>
              <w:pStyle w:val="9"/>
              <w:tabs>
                <w:tab w:val="left" w:pos="660"/>
              </w:tabs>
              <w:rPr>
                <w:rFonts w:hAnsi="宋体"/>
                <w:bCs/>
              </w:rPr>
            </w:pPr>
            <w:r>
              <w:rPr>
                <w:rFonts w:hint="eastAsia" w:hAnsi="宋体"/>
                <w:bCs/>
              </w:rPr>
              <w:t>5.★廉政承诺书</w:t>
            </w:r>
          </w:p>
          <w:p>
            <w:pPr>
              <w:pStyle w:val="9"/>
              <w:tabs>
                <w:tab w:val="left" w:pos="660"/>
              </w:tabs>
              <w:ind w:left="210" w:hanging="210" w:hangingChars="100"/>
              <w:rPr>
                <w:rFonts w:hAnsi="宋体"/>
                <w:bCs/>
              </w:rPr>
            </w:pPr>
            <w:r>
              <w:rPr>
                <w:rFonts w:hint="eastAsia" w:hAnsi="宋体"/>
                <w:bCs/>
              </w:rPr>
              <w:t>6.★采购人将通过“信用中国”网站（www.creditchina.gov.cn）和中国政府采购网（www.ccgp.gov.cn/search/cr/）获取的投标人的信用信息查询结果，查询时间截止开标当日。对信用信息查询结果中存在参加本采购活动前3年内在经营活动中有重大违法记录的供应商，其投标无效。（“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pStyle w:val="9"/>
              <w:tabs>
                <w:tab w:val="left" w:pos="660"/>
              </w:tabs>
              <w:ind w:firstLine="211" w:firstLineChars="100"/>
              <w:rPr>
                <w:rFonts w:hAnsi="宋体"/>
                <w:b/>
                <w:bCs/>
              </w:rPr>
            </w:pPr>
            <w:r>
              <w:rPr>
                <w:rFonts w:hint="eastAsia" w:hAnsi="宋体"/>
                <w:b/>
                <w:bCs/>
              </w:rPr>
              <w:t>以上缺少任何一项，将无法通过资格性审查被视为无效投标。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5</w:t>
            </w:r>
          </w:p>
        </w:tc>
        <w:tc>
          <w:tcPr>
            <w:tcW w:w="2415" w:type="dxa"/>
            <w:vAlign w:val="center"/>
          </w:tcPr>
          <w:p>
            <w:pPr>
              <w:rPr>
                <w:rFonts w:ascii="宋体" w:hAnsi="宋体"/>
                <w:bCs/>
                <w:szCs w:val="28"/>
              </w:rPr>
            </w:pPr>
            <w:r>
              <w:rPr>
                <w:rFonts w:hint="eastAsia" w:ascii="宋体" w:hAnsi="宋体"/>
                <w:bCs/>
                <w:szCs w:val="28"/>
              </w:rPr>
              <w:t>报价人应提交的</w:t>
            </w:r>
          </w:p>
          <w:p>
            <w:pPr>
              <w:rPr>
                <w:rFonts w:ascii="宋体" w:hAnsi="宋体"/>
                <w:bCs/>
                <w:szCs w:val="28"/>
              </w:rPr>
            </w:pPr>
            <w:r>
              <w:rPr>
                <w:rFonts w:hint="eastAsia" w:ascii="宋体" w:hAnsi="宋体"/>
                <w:bCs/>
                <w:szCs w:val="28"/>
              </w:rPr>
              <w:t>技术文件</w:t>
            </w:r>
          </w:p>
        </w:tc>
        <w:tc>
          <w:tcPr>
            <w:tcW w:w="6147" w:type="dxa"/>
            <w:vAlign w:val="center"/>
          </w:tcPr>
          <w:p>
            <w:pPr>
              <w:pStyle w:val="9"/>
              <w:tabs>
                <w:tab w:val="left" w:pos="660"/>
              </w:tabs>
              <w:rPr>
                <w:rFonts w:hAnsi="宋体"/>
                <w:bCs/>
              </w:rPr>
            </w:pPr>
            <w:r>
              <w:rPr>
                <w:rFonts w:hint="eastAsia" w:hAnsi="宋体"/>
                <w:bCs/>
              </w:rPr>
              <w:t xml:space="preserve">1.报价一览表； </w:t>
            </w:r>
          </w:p>
          <w:p>
            <w:pPr>
              <w:pStyle w:val="9"/>
              <w:tabs>
                <w:tab w:val="left" w:pos="660"/>
              </w:tabs>
              <w:rPr>
                <w:rFonts w:hAnsi="宋体"/>
                <w:bCs/>
              </w:rPr>
            </w:pPr>
            <w:r>
              <w:rPr>
                <w:rFonts w:hint="eastAsia" w:hAnsi="宋体"/>
                <w:bCs/>
              </w:rPr>
              <w:t>2.报价货物简要说明一览表；</w:t>
            </w:r>
          </w:p>
          <w:p>
            <w:pPr>
              <w:pStyle w:val="9"/>
              <w:tabs>
                <w:tab w:val="left" w:pos="660"/>
              </w:tabs>
              <w:rPr>
                <w:rFonts w:hAnsi="宋体"/>
                <w:bCs/>
              </w:rPr>
            </w:pPr>
            <w:r>
              <w:rPr>
                <w:rFonts w:hint="eastAsia" w:hAnsi="宋体"/>
                <w:bCs/>
              </w:rPr>
              <w:t>3.报价货物技术偏离表；</w:t>
            </w:r>
          </w:p>
          <w:p>
            <w:pPr>
              <w:pStyle w:val="9"/>
              <w:tabs>
                <w:tab w:val="left" w:pos="660"/>
              </w:tabs>
              <w:rPr>
                <w:rFonts w:hAnsi="宋体"/>
                <w:bCs/>
              </w:rPr>
            </w:pPr>
            <w:r>
              <w:rPr>
                <w:rFonts w:hint="eastAsia" w:hAnsi="宋体"/>
                <w:bCs/>
              </w:rPr>
              <w:t>4.技术方案；</w:t>
            </w:r>
          </w:p>
          <w:p>
            <w:pPr>
              <w:pStyle w:val="9"/>
              <w:tabs>
                <w:tab w:val="left" w:pos="660"/>
              </w:tabs>
              <w:rPr>
                <w:rFonts w:hAnsi="宋体"/>
                <w:bCs/>
              </w:rPr>
            </w:pPr>
            <w:r>
              <w:rPr>
                <w:rFonts w:hint="eastAsia" w:hAnsi="宋体"/>
                <w:bCs/>
              </w:rPr>
              <w:t>5.实施方案（含项目实施进度计划表）；</w:t>
            </w:r>
          </w:p>
          <w:p>
            <w:pPr>
              <w:pStyle w:val="9"/>
              <w:tabs>
                <w:tab w:val="left" w:pos="660"/>
              </w:tabs>
              <w:rPr>
                <w:rFonts w:hAnsi="宋体"/>
                <w:bCs/>
              </w:rPr>
            </w:pPr>
            <w:r>
              <w:rPr>
                <w:rFonts w:hint="eastAsia" w:hAnsi="宋体"/>
                <w:bCs/>
              </w:rPr>
              <w:t>6.验收方案；</w:t>
            </w:r>
          </w:p>
          <w:p>
            <w:pPr>
              <w:pStyle w:val="9"/>
              <w:tabs>
                <w:tab w:val="left" w:pos="660"/>
              </w:tabs>
              <w:rPr>
                <w:rFonts w:hAnsi="宋体"/>
                <w:bCs/>
              </w:rPr>
            </w:pPr>
            <w:r>
              <w:rPr>
                <w:rFonts w:hint="eastAsia" w:hAnsi="宋体"/>
                <w:bCs/>
              </w:rPr>
              <w:t>7.培训及售后服务方案；</w:t>
            </w:r>
          </w:p>
          <w:p>
            <w:pPr>
              <w:pStyle w:val="9"/>
              <w:rPr>
                <w:rFonts w:hAnsi="宋体"/>
                <w:bCs/>
              </w:rPr>
            </w:pPr>
            <w:r>
              <w:rPr>
                <w:rFonts w:hint="eastAsia" w:hAnsi="宋体"/>
                <w:bCs/>
              </w:rPr>
              <w:t>8.报价人认为需要提供的其它说明和资料。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6</w:t>
            </w:r>
          </w:p>
        </w:tc>
        <w:tc>
          <w:tcPr>
            <w:tcW w:w="2415" w:type="dxa"/>
            <w:vAlign w:val="center"/>
          </w:tcPr>
          <w:p>
            <w:pPr>
              <w:rPr>
                <w:rFonts w:ascii="宋体" w:hAnsi="宋体"/>
                <w:szCs w:val="28"/>
              </w:rPr>
            </w:pPr>
            <w:r>
              <w:rPr>
                <w:rFonts w:hint="eastAsia" w:ascii="宋体" w:hAnsi="宋体"/>
                <w:szCs w:val="28"/>
              </w:rPr>
              <w:t>报价人自行编写的</w:t>
            </w:r>
          </w:p>
          <w:p>
            <w:pPr>
              <w:rPr>
                <w:rFonts w:ascii="宋体" w:hAnsi="宋体"/>
                <w:bCs/>
                <w:szCs w:val="28"/>
              </w:rPr>
            </w:pPr>
            <w:r>
              <w:rPr>
                <w:rFonts w:hint="eastAsia" w:ascii="宋体" w:hAnsi="宋体"/>
                <w:szCs w:val="28"/>
              </w:rPr>
              <w:t>技术文件</w:t>
            </w:r>
          </w:p>
        </w:tc>
        <w:tc>
          <w:tcPr>
            <w:tcW w:w="6147" w:type="dxa"/>
            <w:vAlign w:val="center"/>
          </w:tcPr>
          <w:p>
            <w:pPr>
              <w:pStyle w:val="9"/>
              <w:rPr>
                <w:rFonts w:hAnsi="宋体"/>
                <w:bCs/>
              </w:rPr>
            </w:pPr>
            <w:r>
              <w:rPr>
                <w:rFonts w:hint="eastAsia" w:hAnsi="宋体"/>
                <w:bCs/>
              </w:rPr>
              <w:t>应包括但不仅限于以下内容：</w:t>
            </w:r>
          </w:p>
          <w:p>
            <w:pPr>
              <w:pStyle w:val="9"/>
              <w:rPr>
                <w:rFonts w:hAnsi="宋体"/>
                <w:bCs/>
              </w:rPr>
            </w:pPr>
            <w:r>
              <w:rPr>
                <w:rFonts w:hint="eastAsia" w:hAnsi="宋体"/>
                <w:bCs/>
              </w:rPr>
              <w:t>1）报价设备数量、配置说明；</w:t>
            </w:r>
          </w:p>
          <w:p>
            <w:pPr>
              <w:pStyle w:val="9"/>
              <w:rPr>
                <w:rFonts w:hAnsi="宋体"/>
                <w:bCs/>
              </w:rPr>
            </w:pPr>
            <w:r>
              <w:rPr>
                <w:rFonts w:hint="eastAsia" w:hAnsi="宋体"/>
                <w:bCs/>
              </w:rPr>
              <w:t>2）技术响应方案；</w:t>
            </w:r>
          </w:p>
          <w:p>
            <w:pPr>
              <w:pStyle w:val="9"/>
              <w:rPr>
                <w:rFonts w:hAnsi="宋体"/>
                <w:bCs/>
              </w:rPr>
            </w:pPr>
            <w:r>
              <w:rPr>
                <w:rFonts w:hint="eastAsia" w:hAnsi="宋体"/>
                <w:bCs/>
              </w:rPr>
              <w:t>3）技术参数应答；</w:t>
            </w:r>
          </w:p>
          <w:p>
            <w:pPr>
              <w:pStyle w:val="9"/>
              <w:rPr>
                <w:rFonts w:hAnsi="宋体"/>
                <w:bCs/>
              </w:rPr>
            </w:pPr>
            <w:r>
              <w:rPr>
                <w:rFonts w:hint="eastAsia" w:hAnsi="宋体"/>
                <w:bCs/>
              </w:rPr>
              <w:t>4）公开发行的报价产品彩页或产品技术参数说明；</w:t>
            </w:r>
          </w:p>
          <w:p>
            <w:pPr>
              <w:pStyle w:val="9"/>
            </w:pPr>
            <w:r>
              <w:rPr>
                <w:rFonts w:hint="eastAsia" w:hAnsi="宋体"/>
                <w:bCs/>
              </w:rPr>
              <w:t>5）项目组实施人员组织规划和项目参与人员简介；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8" w:type="dxa"/>
            <w:vAlign w:val="center"/>
          </w:tcPr>
          <w:p>
            <w:pPr>
              <w:jc w:val="center"/>
              <w:rPr>
                <w:rFonts w:ascii="宋体" w:hAnsi="宋体"/>
                <w:bCs/>
                <w:szCs w:val="28"/>
              </w:rPr>
            </w:pPr>
            <w:r>
              <w:rPr>
                <w:rFonts w:hint="eastAsia" w:ascii="宋体" w:hAnsi="宋体"/>
                <w:bCs/>
                <w:szCs w:val="28"/>
              </w:rPr>
              <w:t>7</w:t>
            </w:r>
          </w:p>
        </w:tc>
        <w:tc>
          <w:tcPr>
            <w:tcW w:w="2415" w:type="dxa"/>
            <w:vAlign w:val="center"/>
          </w:tcPr>
          <w:p>
            <w:pPr>
              <w:rPr>
                <w:rFonts w:ascii="宋体" w:hAnsi="宋体"/>
                <w:bCs/>
                <w:szCs w:val="28"/>
              </w:rPr>
            </w:pPr>
            <w:r>
              <w:rPr>
                <w:rFonts w:hint="eastAsia" w:ascii="宋体" w:hAnsi="宋体"/>
                <w:bCs/>
                <w:szCs w:val="28"/>
              </w:rPr>
              <w:t>报价文件份数</w:t>
            </w:r>
          </w:p>
        </w:tc>
        <w:tc>
          <w:tcPr>
            <w:tcW w:w="6147" w:type="dxa"/>
            <w:vAlign w:val="center"/>
          </w:tcPr>
          <w:p>
            <w:pPr>
              <w:pStyle w:val="56"/>
              <w:spacing w:before="0" w:after="0" w:line="240" w:lineRule="auto"/>
              <w:ind w:left="0"/>
              <w:rPr>
                <w:bCs/>
                <w:color w:val="auto"/>
                <w:szCs w:val="21"/>
              </w:rPr>
            </w:pPr>
            <w:r>
              <w:rPr>
                <w:rFonts w:hint="eastAsia"/>
                <w:bCs/>
                <w:color w:val="auto"/>
                <w:szCs w:val="28"/>
              </w:rPr>
              <w:t>磋商报价文件一式4份（其中正本1份，副本3份）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8" w:type="dxa"/>
            <w:vAlign w:val="center"/>
          </w:tcPr>
          <w:p>
            <w:pPr>
              <w:jc w:val="center"/>
              <w:rPr>
                <w:rFonts w:ascii="宋体" w:hAnsi="宋体"/>
                <w:bCs/>
                <w:szCs w:val="28"/>
              </w:rPr>
            </w:pPr>
            <w:r>
              <w:rPr>
                <w:rFonts w:hint="eastAsia" w:ascii="宋体" w:hAnsi="宋体"/>
                <w:bCs/>
                <w:szCs w:val="28"/>
              </w:rPr>
              <w:t>8</w:t>
            </w:r>
          </w:p>
        </w:tc>
        <w:tc>
          <w:tcPr>
            <w:tcW w:w="2415" w:type="dxa"/>
            <w:vAlign w:val="center"/>
          </w:tcPr>
          <w:p>
            <w:pPr>
              <w:rPr>
                <w:rFonts w:ascii="宋体" w:hAnsi="宋体"/>
                <w:bCs/>
                <w:szCs w:val="28"/>
              </w:rPr>
            </w:pPr>
            <w:r>
              <w:rPr>
                <w:rFonts w:hint="eastAsia" w:ascii="宋体" w:hAnsi="宋体"/>
                <w:bCs/>
                <w:szCs w:val="28"/>
              </w:rPr>
              <w:t>其他要求</w:t>
            </w:r>
          </w:p>
        </w:tc>
        <w:tc>
          <w:tcPr>
            <w:tcW w:w="6147" w:type="dxa"/>
            <w:vAlign w:val="center"/>
          </w:tcPr>
          <w:p>
            <w:pPr>
              <w:pStyle w:val="56"/>
              <w:spacing w:before="0" w:after="0" w:line="240" w:lineRule="auto"/>
              <w:ind w:left="0"/>
              <w:rPr>
                <w:bCs/>
                <w:color w:val="auto"/>
                <w:szCs w:val="21"/>
              </w:rPr>
            </w:pPr>
            <w:r>
              <w:rPr>
                <w:rFonts w:hint="eastAsia"/>
                <w:bCs/>
                <w:color w:val="auto"/>
                <w:szCs w:val="21"/>
              </w:rPr>
              <w:t>详见报价文件要求</w:t>
            </w:r>
          </w:p>
        </w:tc>
      </w:tr>
    </w:tbl>
    <w:p>
      <w:pPr>
        <w:jc w:val="center"/>
        <w:rPr>
          <w:b/>
          <w:bCs/>
          <w:sz w:val="32"/>
          <w:szCs w:val="32"/>
        </w:rPr>
      </w:pPr>
      <w:r>
        <w:br w:type="page"/>
      </w:r>
    </w:p>
    <w:p>
      <w:pPr>
        <w:jc w:val="center"/>
        <w:rPr>
          <w:b/>
          <w:bCs/>
          <w:sz w:val="32"/>
          <w:szCs w:val="32"/>
        </w:rPr>
        <w:sectPr>
          <w:headerReference r:id="rId3" w:type="default"/>
          <w:headerReference r:id="rId4" w:type="even"/>
          <w:pgSz w:w="11906" w:h="16838"/>
          <w:pgMar w:top="1440" w:right="1701" w:bottom="1440" w:left="1701" w:header="851" w:footer="992" w:gutter="0"/>
          <w:cols w:space="425" w:num="1"/>
          <w:docGrid w:type="lines" w:linePitch="312" w:charSpace="0"/>
        </w:sectPr>
      </w:pPr>
    </w:p>
    <w:p>
      <w:pPr>
        <w:jc w:val="center"/>
        <w:outlineLvl w:val="0"/>
        <w:rPr>
          <w:b/>
          <w:bCs/>
          <w:sz w:val="36"/>
        </w:rPr>
      </w:pPr>
      <w:r>
        <w:rPr>
          <w:rFonts w:hint="eastAsia"/>
          <w:b/>
          <w:bCs/>
          <w:sz w:val="36"/>
        </w:rPr>
        <w:t>第二章</w:t>
      </w:r>
      <w:r>
        <w:rPr>
          <w:b/>
          <w:bCs/>
          <w:sz w:val="36"/>
        </w:rPr>
        <w:t xml:space="preserve">  </w:t>
      </w:r>
      <w:r>
        <w:rPr>
          <w:rFonts w:hint="eastAsia"/>
          <w:b/>
          <w:bCs/>
          <w:sz w:val="36"/>
        </w:rPr>
        <w:t>采购项目说明及要求</w:t>
      </w:r>
    </w:p>
    <w:p>
      <w:pPr>
        <w:pStyle w:val="31"/>
        <w:numPr>
          <w:ilvl w:val="0"/>
          <w:numId w:val="2"/>
        </w:numPr>
        <w:spacing w:line="360" w:lineRule="auto"/>
        <w:ind w:firstLineChars="0"/>
        <w:outlineLvl w:val="1"/>
        <w:rPr>
          <w:b/>
          <w:bCs/>
          <w:sz w:val="28"/>
        </w:rPr>
      </w:pPr>
      <w:r>
        <w:rPr>
          <w:rFonts w:hint="eastAsia"/>
          <w:b/>
          <w:bCs/>
          <w:sz w:val="28"/>
        </w:rPr>
        <w:t>采购项目要求一览表：</w:t>
      </w:r>
    </w:p>
    <w:p>
      <w:pPr>
        <w:pStyle w:val="31"/>
        <w:numPr>
          <w:ilvl w:val="0"/>
          <w:numId w:val="3"/>
        </w:numPr>
        <w:spacing w:line="360" w:lineRule="auto"/>
        <w:ind w:firstLine="562"/>
        <w:outlineLvl w:val="2"/>
        <w:rPr>
          <w:b/>
          <w:bCs/>
          <w:sz w:val="28"/>
        </w:rPr>
      </w:pPr>
      <w:r>
        <w:rPr>
          <w:rFonts w:hint="eastAsia"/>
          <w:b/>
          <w:bCs/>
          <w:sz w:val="28"/>
        </w:rPr>
        <w:t>技术参数要求（以“★”标示的内容为不允许负偏离的实质性要求）</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1. </w:t>
      </w:r>
      <w:r>
        <w:rPr>
          <w:rFonts w:hint="eastAsia" w:ascii="宋体" w:hAnsi="宋体" w:cs="宋体"/>
          <w:sz w:val="24"/>
          <w:highlight w:val="none"/>
          <w:lang w:val="en-US" w:eastAsia="zh-CN"/>
        </w:rPr>
        <w:t>主体参数：有效工作区：500mm（宽）× 500mm（高）× 700mm（深）；额定装载量：500kg（含石墨箱及料盘）。★</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2. 加热：最高温度：1200；工作温度：800-1100；脱脂温度：300-500；温度均匀性：≤±5°C(空载， 1000°C保温 30 分钟后 9 点测量)； 加热元件材质：钼；加热元件分布类型：圆周加热；隔热屏：6层金属隔热屏（3层钼屏，3层不锈钢屏）★</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3.真空：冷态冷态极限真空度: ≤8×10-4Pa(清洁，干燥，脱气，常温、冷态、空载条件 下) ；热态极限真空度: ≤5×10-3 Pa(空载， 850°C保温 60 分钟后测量)；真空效率(抽速): 从大气抽至 5×10-3Pa 耗时≤30min(冷态，空载条件下，扩散泵预热时间不计)；压升率: ≤0.067 Pa/h(清洁，干燥，脱气，常温、冷态、空载条下)；分压范围: 10～1000Pa(自动分压)。★</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4. 冷却方式：气体冷却方式: 充高纯氮气或氩气(绝对压力 80kPa)，从 400°C降至60°C耗时≤60min。★</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5. 材质：真空室：内壁为不锈钢(304)；管路（水、气、真空）：不锈钢(304)。★</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6. 工艺气体：快冷气体: 氮气或氩气;纯度≥99.99%;压力:0.2～0.3MPa；工艺气体气源压力: 氮气或氩气;纯度≥99.99%;压力:0.1～0.2MPa；压缩空气气源压力: 压力:0.4～0.6MPa。★</w:t>
      </w:r>
    </w:p>
    <w:p>
      <w:pPr>
        <w:pStyle w:val="31"/>
        <w:numPr>
          <w:ilvl w:val="0"/>
          <w:numId w:val="3"/>
        </w:numPr>
        <w:spacing w:line="360" w:lineRule="auto"/>
        <w:ind w:firstLine="562"/>
        <w:outlineLvl w:val="2"/>
        <w:rPr>
          <w:b/>
          <w:bCs/>
          <w:sz w:val="28"/>
          <w:highlight w:val="none"/>
        </w:rPr>
      </w:pPr>
      <w:r>
        <w:rPr>
          <w:rFonts w:hint="eastAsia"/>
          <w:b/>
          <w:bCs/>
          <w:sz w:val="28"/>
          <w:highlight w:val="none"/>
        </w:rPr>
        <w:t>服务要求</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 xml:space="preserve">1. 提供终身负责维修服务。 </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2. 所投所有设备质保期不少于壹年，自所有货物验收合格交付使用之日起计算。质保期内，设备发生任何质量问题，均由中标人负责免费修复，失效零件予以免费更换，更换时所发生的商检、运输等费用均由中标人负责。并详细列明质保期满后零配件的供应价格。</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3. 在设备发生故障 24 小时内立即做出快速反应，确保及时解决问题。在保修期内因设备故障造成停工，48小时内排除故障，并承担一切费用。</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4. 质保期满前1个月内中标人应就所有货物进行一次免费全面检查，并写出正式报告，如发现潜在问题，应负责排除。如出现质量问题，在质保期内对设备进行免费维修和零配件的更换。</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5. 免费培训：</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5.1 投标人应免费为采购人提供全部设备的操作、使用及维护的技术培训服务，培训人员不少于4人；</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5.2 培训目标：使采购人相关人员能掌握有关系统设备的使用、维护和管理，达到能独立进行操作、日常测试维护等工作的目的；</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5.3 投标商应提供详细的培训课程讲义及培训进度计划表。内容包括：基本理论、实验方法原理、实验操作、软件的使用、仪器维护、安全要点以及其他相关内容。</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5.4 软件升级：中标人应免费向采购人提供仪器的软件升级服务2年以上，配合采购人需要进行系统扩展。</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5.5 质保期中技术服务内容：中标人提供相应的售后服务，维修仅收取零配件费用。</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5.6 中标人应提供设备相关的配套技术资料，包括操作手册（中文版）及维修保养手册等。</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5.7中标人必须承诺能长期提供良好的技术支持及备品备件的优惠供应，并列出零备件清单及价格表。</w:t>
      </w:r>
    </w:p>
    <w:p>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lang w:val="en-US" w:eastAsia="zh-CN"/>
        </w:rPr>
        <w:t>5.8 投标人认为有利于采购人的其他优惠条款应单独列明。</w:t>
      </w:r>
    </w:p>
    <w:p>
      <w:pPr>
        <w:pStyle w:val="31"/>
        <w:numPr>
          <w:ilvl w:val="0"/>
          <w:numId w:val="3"/>
        </w:numPr>
        <w:spacing w:line="360" w:lineRule="auto"/>
        <w:ind w:firstLine="562"/>
        <w:outlineLvl w:val="2"/>
        <w:rPr>
          <w:b/>
          <w:bCs/>
          <w:sz w:val="28"/>
          <w:highlight w:val="none"/>
        </w:rPr>
      </w:pPr>
      <w:r>
        <w:rPr>
          <w:rFonts w:hint="eastAsia"/>
          <w:b/>
          <w:bCs/>
          <w:sz w:val="28"/>
          <w:highlight w:val="none"/>
        </w:rPr>
        <w:t>项目其他要求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磋商响应供应商必须提供所响应产品的全套（软件、硬件主体、辅材、配件）的品牌、型号、详细配置、技术规格、主要参数、性能说明、功能介绍、具体产地、生产厂家、数量及对应的分项报价（含单价和总价）等。</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2.磋商响应供应商必须对产品的制造标准、安装标准、技术规范和货物的可维护性、适用性、安全、环保、可靠性等方面进行综合描述。并提供货物及配件、使用材料的品牌、规格型号、产地、技术参数、性能指标、全部账号密码等方面的详细说明。磋商响应供应商提供的货物及制作安装采用的各种配件、材料均必须符合设计要求及国家相关标准。</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3.磋商响应供应商应在磋商响应文件中附上磋商响应货物的技术说明书（中文版，若无中文版，应同时提供中文的翻译材料并对翻译的准确性负责）。</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4.磋商响应供应商应根据项目要求提供完整的项目实施服务方案，包括供货、安装调试、使用培训等方案。</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5.磋商响应供应商提供的货物技术规格、安装标准及技术规范等必须符合国家和行业规定标准、规范要求，技术参数与配置要求不低于本项目提供的技术参数与配置要求。本次采购的货物，磋商响应供应商须保证提供的所有货物必须是未经拆封、原厂正规合格、品质优良的产品、软件必须为正版软件、技术资料齐全、满足磋商文件的基本要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6.磋商响应供应商必须保证采购人在使用其成交货物过程的任何时候不受到第三方提出侵犯其知识产权（专利权、商标权、工业设计权及使用权）的纠纷，否则，由此产生的任何责任完全由成交供应商承担。</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7.磋商响应供应商应向采购人提供以下中文技术资料（包括但不限于）：</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7.1技术说明书（含电气原理图及其符号说明）；</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7.2安装图纸（部件安装图，电气接线图）；</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7.3安装、调试、使用保养维修手册（或说明书）；</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7.4系统操作手册；</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7.5产品技术标准（含验收标准）和试验方法，产品原产地出厂合格证；</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7.6设备的出厂检验报告和检验证书、装箱单；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7.7零部件目录、相关文件、支持程序软盘或光盘；</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7.8所有权限的全部账号密码；</w:t>
      </w:r>
    </w:p>
    <w:p>
      <w:pPr>
        <w:spacing w:line="360" w:lineRule="auto"/>
        <w:ind w:firstLine="480" w:firstLineChars="200"/>
        <w:rPr>
          <w:rFonts w:ascii="宋体" w:hAnsi="宋体" w:cs="宋体"/>
          <w:sz w:val="24"/>
          <w:highlight w:val="none"/>
        </w:rPr>
        <w:sectPr>
          <w:pgSz w:w="11906" w:h="16838"/>
          <w:pgMar w:top="1440" w:right="1701" w:bottom="1440" w:left="1701" w:header="851" w:footer="992" w:gutter="0"/>
          <w:cols w:space="425" w:num="1"/>
          <w:docGrid w:type="linesAndChars" w:linePitch="312" w:charSpace="0"/>
        </w:sectPr>
      </w:pPr>
      <w:r>
        <w:rPr>
          <w:rFonts w:hint="eastAsia" w:ascii="宋体" w:hAnsi="宋体" w:cs="宋体"/>
          <w:sz w:val="24"/>
          <w:highlight w:val="none"/>
        </w:rPr>
        <w:t>7.9其他资料。</w:t>
      </w:r>
    </w:p>
    <w:p>
      <w:pPr>
        <w:spacing w:line="360" w:lineRule="auto"/>
        <w:outlineLvl w:val="1"/>
        <w:rPr>
          <w:rFonts w:ascii="Arial" w:hAnsi="宋体" w:cs="Arial"/>
          <w:sz w:val="24"/>
          <w:szCs w:val="21"/>
        </w:rPr>
      </w:pPr>
      <w:r>
        <w:rPr>
          <w:rFonts w:hint="eastAsia"/>
          <w:b/>
          <w:bCs/>
          <w:sz w:val="28"/>
        </w:rPr>
        <w:t>二、采购要求</w:t>
      </w:r>
    </w:p>
    <w:p>
      <w:pPr>
        <w:tabs>
          <w:tab w:val="left" w:pos="0"/>
          <w:tab w:val="left" w:pos="540"/>
          <w:tab w:val="left" w:pos="780"/>
        </w:tabs>
        <w:spacing w:line="360" w:lineRule="auto"/>
        <w:outlineLvl w:val="2"/>
        <w:rPr>
          <w:rFonts w:ascii="Arial" w:hAnsi="宋体" w:cs="Arial"/>
          <w:sz w:val="24"/>
          <w:szCs w:val="21"/>
        </w:rPr>
      </w:pPr>
      <w:r>
        <w:rPr>
          <w:rFonts w:hint="eastAsia" w:ascii="Arial" w:hAnsi="宋体" w:cs="Arial"/>
          <w:sz w:val="24"/>
          <w:szCs w:val="21"/>
        </w:rPr>
        <w:t>（一）报价人应根据本采购文件中提出的技术要求，在报价文件中提供技术应答书或技术建议书，并在技术偏离表中一一对应标注清楚。</w:t>
      </w:r>
    </w:p>
    <w:p>
      <w:pPr>
        <w:tabs>
          <w:tab w:val="left" w:pos="0"/>
          <w:tab w:val="left" w:pos="540"/>
          <w:tab w:val="left" w:pos="780"/>
        </w:tabs>
        <w:spacing w:line="360" w:lineRule="auto"/>
        <w:outlineLvl w:val="2"/>
        <w:rPr>
          <w:rFonts w:ascii="Arial" w:hAnsi="宋体" w:cs="Arial"/>
          <w:sz w:val="24"/>
          <w:szCs w:val="21"/>
        </w:rPr>
      </w:pPr>
      <w:r>
        <w:rPr>
          <w:rFonts w:hint="eastAsia" w:ascii="Arial" w:hAnsi="宋体" w:cs="Arial"/>
          <w:sz w:val="24"/>
          <w:szCs w:val="21"/>
        </w:rPr>
        <w:t>（二）报价人必须提供营业执照有效复印件以及企业法定代表人对报价代表的授权书原件。报价代表必须为报价单位员工，需提供身份证明及医社保缴交证明材料。</w:t>
      </w:r>
    </w:p>
    <w:p>
      <w:pPr>
        <w:tabs>
          <w:tab w:val="left" w:pos="0"/>
          <w:tab w:val="left" w:pos="540"/>
          <w:tab w:val="left" w:pos="780"/>
        </w:tabs>
        <w:spacing w:line="360" w:lineRule="auto"/>
        <w:outlineLvl w:val="2"/>
        <w:rPr>
          <w:rFonts w:ascii="Arial" w:hAnsi="宋体" w:cs="Arial"/>
          <w:sz w:val="24"/>
          <w:szCs w:val="21"/>
        </w:rPr>
      </w:pPr>
      <w:r>
        <w:rPr>
          <w:rFonts w:hint="eastAsia" w:ascii="Arial" w:hAnsi="宋体" w:cs="Arial"/>
          <w:sz w:val="24"/>
          <w:szCs w:val="21"/>
        </w:rPr>
        <w:t>（三）报价文件必须包含投标书、开标一览表、投标货物说明一览表、供货配置清单、产品技术偏离表、资格证明文件、投标货物生产经销代理证明或授权书（经销商或代理商）、售后服务承诺及本招标文件要求的其他主要内容，以上材料须加盖投标人公章。</w:t>
      </w:r>
    </w:p>
    <w:p>
      <w:pPr>
        <w:tabs>
          <w:tab w:val="left" w:pos="0"/>
          <w:tab w:val="left" w:pos="540"/>
          <w:tab w:val="left" w:pos="780"/>
        </w:tabs>
        <w:spacing w:line="360" w:lineRule="auto"/>
        <w:outlineLvl w:val="2"/>
        <w:rPr>
          <w:rFonts w:ascii="Arial" w:hAnsi="宋体" w:cs="Arial"/>
          <w:sz w:val="24"/>
          <w:szCs w:val="21"/>
        </w:rPr>
      </w:pPr>
      <w:r>
        <w:rPr>
          <w:rFonts w:hint="eastAsia" w:ascii="Arial" w:hAnsi="宋体" w:cs="Arial"/>
          <w:sz w:val="24"/>
          <w:szCs w:val="21"/>
        </w:rPr>
        <w:t>（四）本次采购的报价文件需正本</w:t>
      </w:r>
      <w:r>
        <w:rPr>
          <w:rFonts w:ascii="Arial" w:hAnsi="宋体" w:cs="Arial"/>
          <w:sz w:val="24"/>
          <w:szCs w:val="21"/>
        </w:rPr>
        <w:t>1</w:t>
      </w:r>
      <w:r>
        <w:rPr>
          <w:rFonts w:hint="eastAsia" w:ascii="Arial" w:hAnsi="宋体" w:cs="Arial"/>
          <w:sz w:val="24"/>
          <w:szCs w:val="21"/>
        </w:rPr>
        <w:t>份、副本3份。</w:t>
      </w:r>
    </w:p>
    <w:p>
      <w:pPr>
        <w:tabs>
          <w:tab w:val="left" w:pos="0"/>
          <w:tab w:val="left" w:pos="540"/>
        </w:tabs>
        <w:spacing w:line="360" w:lineRule="auto"/>
        <w:rPr>
          <w:rFonts w:ascii="Arial" w:hAnsi="宋体" w:cs="Arial"/>
          <w:sz w:val="24"/>
          <w:szCs w:val="21"/>
        </w:rPr>
      </w:pPr>
      <w:r>
        <w:rPr>
          <w:rFonts w:hint="eastAsia" w:ascii="宋体" w:hAnsi="宋体"/>
          <w:sz w:val="24"/>
        </w:rPr>
        <w:t>（五）合同签订：中标供应商在中标公告发布后3个工作日内与嘉庚创新实验室资产采购管理室处签订合同。投标文件、中标供应商的投标文件及其澄清文件均作为签订技术和服务协议、合同订立的基础。</w:t>
      </w:r>
    </w:p>
    <w:p>
      <w:pPr>
        <w:spacing w:line="360" w:lineRule="auto"/>
        <w:outlineLvl w:val="1"/>
        <w:rPr>
          <w:b/>
          <w:sz w:val="28"/>
          <w:szCs w:val="28"/>
        </w:rPr>
      </w:pPr>
      <w:r>
        <w:rPr>
          <w:rFonts w:hint="eastAsia"/>
          <w:b/>
          <w:sz w:val="28"/>
          <w:szCs w:val="28"/>
        </w:rPr>
        <w:t>三、报价要求</w:t>
      </w:r>
    </w:p>
    <w:p>
      <w:pPr>
        <w:spacing w:line="360" w:lineRule="auto"/>
        <w:ind w:firstLine="480" w:firstLineChars="200"/>
        <w:rPr>
          <w:rFonts w:asciiTheme="majorEastAsia" w:hAnsiTheme="majorEastAsia" w:eastAsiaTheme="majorEastAsia" w:cstheme="majorEastAsia"/>
          <w:b/>
          <w:bCs/>
          <w:sz w:val="24"/>
        </w:rPr>
      </w:pPr>
      <w:r>
        <w:rPr>
          <w:rFonts w:hint="eastAsia"/>
          <w:sz w:val="24"/>
        </w:rPr>
        <w:t>投标人以人民币方式进行报价，投标总价包含项目启动、试运行、上线等、经用户验收小组验收合格并交付使用期间可能发生的费用，包括系统所需设备及图纸设计中所涉及的一切材料、采购保管、运输、安装调试、施工配合费、技术服务与培训、售后服务以及税收、规费等一切费用。本次采购为交钥匙项目。</w:t>
      </w:r>
    </w:p>
    <w:p>
      <w:pPr>
        <w:spacing w:line="360" w:lineRule="auto"/>
        <w:outlineLvl w:val="1"/>
        <w:rPr>
          <w:b/>
          <w:sz w:val="28"/>
          <w:szCs w:val="28"/>
        </w:rPr>
      </w:pPr>
      <w:r>
        <w:rPr>
          <w:rFonts w:hint="eastAsia"/>
          <w:b/>
          <w:sz w:val="28"/>
          <w:szCs w:val="28"/>
        </w:rPr>
        <w:t>四、验收要求</w:t>
      </w:r>
    </w:p>
    <w:p>
      <w:pPr>
        <w:tabs>
          <w:tab w:val="left" w:pos="0"/>
          <w:tab w:val="left" w:pos="540"/>
        </w:tabs>
        <w:spacing w:line="360" w:lineRule="auto"/>
        <w:ind w:firstLine="480" w:firstLineChars="200"/>
        <w:outlineLvl w:val="2"/>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一）采购文件、报价文件、厂家货物技术标准说明及有关国家的质量标准规定，均作为验收标准。中标人提交相关软件技术文档、验收文档、系统程序（光盘）和用户手册等。中标人根据招标需求进行系统开发工作，达到各项技术和功能要求，完成系统部署、培训和上线运行，待系统运行稳定后，提交验收。</w:t>
      </w:r>
    </w:p>
    <w:p>
      <w:pPr>
        <w:tabs>
          <w:tab w:val="left" w:pos="0"/>
          <w:tab w:val="left" w:pos="540"/>
        </w:tabs>
        <w:spacing w:line="360" w:lineRule="auto"/>
        <w:ind w:firstLine="480" w:firstLineChars="200"/>
        <w:outlineLvl w:val="2"/>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（二）用户组织对供应商履约的验收。大型或者复杂的政府采购项目，邀请国家认可的质量检测机构参加验收工作。验收方成员在验收书上签字，并承担相应的法律责任。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ind w:firstLine="480" w:firstLineChars="200"/>
        <w:outlineLvl w:val="2"/>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三）具备正式验收条件后，采购人组织项目组成员以及相关专家，举行项目验收评审会议进行验收，会议通过或有条件通过（在满足提出的修改意见之后），同时出具《验收报告》，则视为正式验收合格。验收时中标供应商代表必须在场。验收合格后，中标供应商凭用户出具的验收合格书至嘉庚创新实验室资采室处根据合同规定办理付款手续。验收不合格的，供应商须先进行整改，仍旧不合格的，用户有权退货。</w:t>
      </w:r>
    </w:p>
    <w:p>
      <w:pPr>
        <w:tabs>
          <w:tab w:val="left" w:pos="0"/>
          <w:tab w:val="left" w:pos="540"/>
        </w:tabs>
        <w:spacing w:line="360" w:lineRule="auto"/>
        <w:ind w:firstLine="480" w:firstLineChars="200"/>
        <w:outlineLvl w:val="2"/>
        <w:rPr>
          <w:rFonts w:ascii="Arial" w:hAnsi="宋体" w:cs="Arial"/>
          <w:sz w:val="24"/>
          <w:szCs w:val="21"/>
        </w:rPr>
      </w:pPr>
      <w:r>
        <w:rPr>
          <w:rFonts w:hint="eastAsia" w:asciiTheme="majorEastAsia" w:hAnsiTheme="majorEastAsia" w:eastAsiaTheme="majorEastAsia" w:cstheme="majorEastAsia"/>
          <w:sz w:val="24"/>
        </w:rPr>
        <w:t>（四）合同签订后，</w:t>
      </w:r>
      <w:r>
        <w:rPr>
          <w:rFonts w:asciiTheme="majorEastAsia" w:hAnsiTheme="majorEastAsia" w:eastAsiaTheme="majorEastAsia" w:cstheme="majorEastAsia"/>
          <w:sz w:val="24"/>
          <w:highlight w:val="none"/>
        </w:rPr>
        <w:t>100</w:t>
      </w:r>
      <w:r>
        <w:rPr>
          <w:rFonts w:hint="eastAsia" w:asciiTheme="majorEastAsia" w:hAnsiTheme="majorEastAsia" w:eastAsiaTheme="majorEastAsia" w:cstheme="majorEastAsia"/>
          <w:sz w:val="24"/>
          <w:highlight w:val="none"/>
        </w:rPr>
        <w:t>天</w:t>
      </w:r>
      <w:r>
        <w:rPr>
          <w:rFonts w:hint="eastAsia" w:asciiTheme="majorEastAsia" w:hAnsiTheme="majorEastAsia" w:eastAsiaTheme="majorEastAsia" w:cstheme="majorEastAsia"/>
          <w:sz w:val="24"/>
        </w:rPr>
        <w:t>内交货。</w:t>
      </w:r>
    </w:p>
    <w:p>
      <w:pPr>
        <w:spacing w:line="360" w:lineRule="auto"/>
        <w:ind w:left="562" w:hanging="562" w:hangingChars="200"/>
        <w:outlineLvl w:val="1"/>
        <w:rPr>
          <w:sz w:val="28"/>
          <w:szCs w:val="28"/>
        </w:rPr>
      </w:pPr>
      <w:r>
        <w:rPr>
          <w:rFonts w:hint="eastAsia"/>
          <w:b/>
          <w:sz w:val="28"/>
          <w:szCs w:val="28"/>
        </w:rPr>
        <w:t>五、付款条件</w:t>
      </w:r>
    </w:p>
    <w:p>
      <w:pPr>
        <w:spacing w:line="360" w:lineRule="auto"/>
        <w:ind w:firstLine="480" w:firstLineChars="200"/>
        <w:rPr>
          <w:rFonts w:ascii="Arial" w:hAnsi="宋体" w:cs="Arial"/>
          <w:sz w:val="24"/>
          <w:szCs w:val="21"/>
        </w:rPr>
      </w:pPr>
      <w:r>
        <w:rPr>
          <w:rFonts w:hint="eastAsia"/>
          <w:sz w:val="24"/>
        </w:rPr>
        <w:t>合同签订后预付30%，用户验收小组验收合格交付使用的20个工作日内付6</w:t>
      </w:r>
      <w:r>
        <w:rPr>
          <w:sz w:val="24"/>
        </w:rPr>
        <w:t>0</w:t>
      </w:r>
      <w:r>
        <w:rPr>
          <w:rFonts w:hint="eastAsia"/>
          <w:sz w:val="24"/>
        </w:rPr>
        <w:t>%货款，另外</w:t>
      </w:r>
      <w:r>
        <w:rPr>
          <w:sz w:val="24"/>
        </w:rPr>
        <w:t>10</w:t>
      </w:r>
      <w:r>
        <w:rPr>
          <w:rFonts w:hint="eastAsia"/>
          <w:sz w:val="24"/>
        </w:rPr>
        <w:t>%作为质保金，质保期结束后凭使用单位证明退还。</w:t>
      </w:r>
    </w:p>
    <w:p>
      <w:pPr>
        <w:jc w:val="center"/>
        <w:outlineLvl w:val="0"/>
        <w:rPr>
          <w:b/>
          <w:bCs/>
          <w:sz w:val="32"/>
          <w:szCs w:val="32"/>
        </w:rPr>
      </w:pPr>
      <w:r>
        <w:rPr>
          <w:rFonts w:hint="eastAsia"/>
          <w:b/>
          <w:bCs/>
          <w:sz w:val="32"/>
          <w:szCs w:val="32"/>
        </w:rPr>
        <w:t>第三章</w:t>
      </w:r>
      <w:r>
        <w:rPr>
          <w:b/>
          <w:bCs/>
          <w:sz w:val="32"/>
          <w:szCs w:val="32"/>
        </w:rPr>
        <w:t xml:space="preserve">  </w:t>
      </w:r>
      <w:r>
        <w:rPr>
          <w:rFonts w:hint="eastAsia"/>
          <w:b/>
          <w:bCs/>
          <w:sz w:val="32"/>
          <w:szCs w:val="32"/>
        </w:rPr>
        <w:t>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outlineLvl w:val="2"/>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“成交供应商”指经谈判小组审查通过，招投标中心向其发出《成交通知书》并授予其成交合同的磋商供应商。</w:t>
      </w:r>
    </w:p>
    <w:p>
      <w:pPr>
        <w:spacing w:before="120" w:line="360" w:lineRule="auto"/>
        <w:ind w:left="840" w:hanging="840" w:hangingChars="350"/>
        <w:outlineLvl w:val="2"/>
        <w:rPr>
          <w:rFonts w:ascii="宋体" w:hAnsi="宋体"/>
          <w:sz w:val="24"/>
        </w:rPr>
      </w:pPr>
      <w:r>
        <w:rPr>
          <w:rFonts w:ascii="宋体" w:hAnsi="宋体"/>
          <w:sz w:val="24"/>
        </w:rPr>
        <w:t>2</w:t>
      </w:r>
      <w:r>
        <w:rPr>
          <w:rFonts w:hint="eastAsia" w:ascii="宋体" w:hAnsi="宋体"/>
          <w:sz w:val="24"/>
        </w:rPr>
        <w:t>. 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tabs>
          <w:tab w:val="left" w:pos="1200"/>
        </w:tabs>
        <w:spacing w:before="120" w:line="360" w:lineRule="auto"/>
        <w:outlineLvl w:val="2"/>
        <w:rPr>
          <w:rFonts w:ascii="宋体" w:hAnsi="宋体"/>
          <w:sz w:val="24"/>
        </w:rPr>
      </w:pPr>
      <w:r>
        <w:rPr>
          <w:rFonts w:hint="eastAsia" w:ascii="宋体" w:hAnsi="宋体"/>
          <w:sz w:val="24"/>
        </w:rPr>
        <w:t>3.磋商供应商应遵守有关的国家法律、法规和条例，具备《中华人民共和国政府采购法》和本磋商谈判文件中规定的条件：</w:t>
      </w:r>
    </w:p>
    <w:p>
      <w:pPr>
        <w:tabs>
          <w:tab w:val="left" w:pos="1200"/>
        </w:tabs>
        <w:spacing w:before="120" w:line="360" w:lineRule="auto"/>
        <w:jc w:val="left"/>
        <w:rPr>
          <w:rFonts w:ascii="宋体"/>
          <w:sz w:val="24"/>
        </w:rPr>
      </w:pPr>
      <w:r>
        <w:rPr>
          <w:rFonts w:hint="eastAsia" w:ascii="宋体" w:hAnsi="宋体"/>
          <w:sz w:val="24"/>
        </w:rPr>
        <w:t xml:space="preserve">    具有独立承担民事责任的能力；</w:t>
      </w:r>
    </w:p>
    <w:p>
      <w:pPr>
        <w:tabs>
          <w:tab w:val="left" w:pos="1200"/>
        </w:tabs>
        <w:spacing w:before="120" w:line="360" w:lineRule="auto"/>
        <w:jc w:val="left"/>
        <w:rPr>
          <w:rFonts w:ascii="宋体"/>
          <w:sz w:val="24"/>
        </w:rPr>
      </w:pPr>
      <w:r>
        <w:rPr>
          <w:rFonts w:hint="eastAsia" w:ascii="宋体" w:hAnsi="宋体"/>
          <w:sz w:val="24"/>
        </w:rPr>
        <w:t xml:space="preserve">    具有良好的商业信誉和健全的财务会计制度；</w:t>
      </w:r>
    </w:p>
    <w:p>
      <w:pPr>
        <w:tabs>
          <w:tab w:val="left" w:pos="1200"/>
        </w:tabs>
        <w:spacing w:before="120" w:line="360" w:lineRule="auto"/>
        <w:jc w:val="left"/>
        <w:rPr>
          <w:rFonts w:ascii="宋体"/>
          <w:sz w:val="24"/>
        </w:rPr>
      </w:pPr>
      <w:r>
        <w:rPr>
          <w:rFonts w:hint="eastAsia" w:ascii="宋体" w:hAnsi="宋体"/>
          <w:sz w:val="24"/>
        </w:rPr>
        <w:t xml:space="preserve">    具有履行合同所必需的设备和专业技术能力；</w:t>
      </w:r>
    </w:p>
    <w:p>
      <w:pPr>
        <w:tabs>
          <w:tab w:val="left" w:pos="1200"/>
        </w:tabs>
        <w:spacing w:before="120" w:line="360" w:lineRule="auto"/>
        <w:jc w:val="left"/>
        <w:rPr>
          <w:rFonts w:ascii="宋体"/>
          <w:sz w:val="24"/>
        </w:rPr>
      </w:pPr>
      <w:r>
        <w:rPr>
          <w:rFonts w:hint="eastAsia" w:ascii="宋体" w:hAnsi="宋体"/>
          <w:sz w:val="24"/>
        </w:rPr>
        <w:t xml:space="preserve">    具有依法缴纳税收和社会保障资金的良好记录；</w:t>
      </w:r>
    </w:p>
    <w:p>
      <w:pPr>
        <w:tabs>
          <w:tab w:val="left" w:pos="1200"/>
        </w:tabs>
        <w:spacing w:before="120" w:line="360" w:lineRule="auto"/>
        <w:jc w:val="left"/>
        <w:rPr>
          <w:rFonts w:ascii="宋体"/>
          <w:sz w:val="24"/>
        </w:rPr>
      </w:pPr>
      <w:r>
        <w:rPr>
          <w:rFonts w:hint="eastAsia" w:ascii="宋体" w:hAnsi="宋体"/>
          <w:sz w:val="24"/>
        </w:rPr>
        <w:t xml:space="preserve">    参加此项采购活动前三年内，在经营活动中没有重大违法记录。</w:t>
      </w:r>
    </w:p>
    <w:p>
      <w:pPr>
        <w:tabs>
          <w:tab w:val="left" w:pos="1200"/>
        </w:tabs>
        <w:spacing w:before="120" w:line="360" w:lineRule="auto"/>
        <w:outlineLvl w:val="2"/>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outlineLvl w:val="2"/>
        <w:rPr>
          <w:rFonts w:ascii="宋体" w:hAns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spacing w:before="120" w:line="360" w:lineRule="auto"/>
        <w:outlineLvl w:val="2"/>
        <w:rPr>
          <w:rFonts w:ascii="宋体"/>
          <w:sz w:val="24"/>
        </w:rPr>
      </w:pPr>
      <w:r>
        <w:rPr>
          <w:rFonts w:hint="eastAsia" w:ascii="宋体" w:hAnsi="宋体"/>
          <w:sz w:val="24"/>
        </w:rPr>
        <w:t>6</w:t>
      </w:r>
      <w:r>
        <w:rPr>
          <w:rFonts w:ascii="宋体" w:hAnsi="宋体"/>
          <w:sz w:val="24"/>
        </w:rPr>
        <w:t>.</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对与本项目有关的通知，资采室将本次磋商公告刊登的媒体上发布公告的形式，向潜在磋商供应商发出。收到通知的磋商供应商应以书面方式立即予以回复确认。</w:t>
      </w:r>
    </w:p>
    <w:p>
      <w:pPr>
        <w:tabs>
          <w:tab w:val="left" w:pos="540"/>
        </w:tabs>
        <w:spacing w:line="360" w:lineRule="auto"/>
        <w:outlineLvl w:val="1"/>
        <w:rPr>
          <w:rFonts w:ascii="Arial" w:hAnsi="宋体" w:cs="Arial"/>
          <w:b/>
          <w:sz w:val="24"/>
          <w:szCs w:val="21"/>
        </w:rPr>
      </w:pPr>
      <w:r>
        <w:rPr>
          <w:rFonts w:hint="eastAsia" w:ascii="Arial" w:hAnsi="宋体" w:cs="Arial"/>
          <w:b/>
          <w:sz w:val="24"/>
          <w:szCs w:val="21"/>
        </w:rPr>
        <w:t>（二）磋商程序</w:t>
      </w:r>
    </w:p>
    <w:p>
      <w:pPr>
        <w:pStyle w:val="32"/>
        <w:widowControl w:val="0"/>
        <w:numPr>
          <w:ilvl w:val="0"/>
          <w:numId w:val="4"/>
        </w:numPr>
        <w:adjustRightInd w:val="0"/>
        <w:spacing w:before="0" w:beforeAutospacing="0" w:after="0" w:afterAutospacing="0" w:line="400" w:lineRule="exact"/>
        <w:jc w:val="both"/>
        <w:outlineLvl w:val="2"/>
        <w:rPr>
          <w:rFonts w:ascii="宋体" w:eastAsia="宋体" w:cs="微软雅黑"/>
          <w:sz w:val="24"/>
          <w:szCs w:val="24"/>
        </w:rPr>
      </w:pPr>
      <w:r>
        <w:rPr>
          <w:rFonts w:hint="eastAsia" w:ascii="宋体" w:eastAsia="宋体" w:cs="微软雅黑"/>
          <w:sz w:val="24"/>
          <w:szCs w:val="24"/>
        </w:rPr>
        <w:t>组建谈判小组</w:t>
      </w:r>
    </w:p>
    <w:p>
      <w:pPr>
        <w:pStyle w:val="32"/>
        <w:widowControl w:val="0"/>
        <w:numPr>
          <w:ilvl w:val="1"/>
          <w:numId w:val="4"/>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根据有关法律法规和本磋商谈判文件的规定，结合本磋商项目的特点组建谈判小组，对具备实质性响应的响应文件进行评估和比较。</w:t>
      </w:r>
    </w:p>
    <w:p>
      <w:pPr>
        <w:pStyle w:val="32"/>
        <w:widowControl w:val="0"/>
        <w:numPr>
          <w:ilvl w:val="0"/>
          <w:numId w:val="4"/>
        </w:numPr>
        <w:tabs>
          <w:tab w:val="clear" w:pos="709"/>
        </w:tabs>
        <w:adjustRightInd w:val="0"/>
        <w:snapToGrid w:val="0"/>
        <w:spacing w:before="0" w:beforeAutospacing="0" w:after="0" w:afterAutospacing="0" w:line="400" w:lineRule="exact"/>
        <w:jc w:val="both"/>
        <w:outlineLvl w:val="2"/>
        <w:rPr>
          <w:rFonts w:ascii="宋体" w:eastAsia="宋体" w:cs="微软雅黑"/>
          <w:sz w:val="24"/>
          <w:szCs w:val="24"/>
        </w:rPr>
      </w:pPr>
      <w:r>
        <w:rPr>
          <w:rFonts w:hint="eastAsia" w:ascii="宋体" w:eastAsia="宋体" w:cs="微软雅黑"/>
          <w:sz w:val="24"/>
          <w:szCs w:val="24"/>
        </w:rPr>
        <w:t>磋商准备与初步评审</w:t>
      </w:r>
    </w:p>
    <w:p>
      <w:pPr>
        <w:pStyle w:val="32"/>
        <w:widowControl w:val="0"/>
        <w:numPr>
          <w:ilvl w:val="1"/>
          <w:numId w:val="4"/>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w:t>
      </w:r>
    </w:p>
    <w:p>
      <w:pPr>
        <w:pStyle w:val="32"/>
        <w:widowControl w:val="0"/>
        <w:numPr>
          <w:ilvl w:val="1"/>
          <w:numId w:val="4"/>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5"/>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5"/>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5"/>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5"/>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5"/>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5"/>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5"/>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5"/>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5"/>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32"/>
        <w:widowControl w:val="0"/>
        <w:numPr>
          <w:ilvl w:val="1"/>
          <w:numId w:val="4"/>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32"/>
        <w:widowControl w:val="0"/>
        <w:numPr>
          <w:ilvl w:val="1"/>
          <w:numId w:val="4"/>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32"/>
        <w:widowControl w:val="0"/>
        <w:numPr>
          <w:ilvl w:val="1"/>
          <w:numId w:val="4"/>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32"/>
        <w:widowControl w:val="0"/>
        <w:numPr>
          <w:ilvl w:val="1"/>
          <w:numId w:val="4"/>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6"/>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6"/>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6"/>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32"/>
        <w:widowControl w:val="0"/>
        <w:numPr>
          <w:ilvl w:val="1"/>
          <w:numId w:val="4"/>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32"/>
        <w:widowControl w:val="0"/>
        <w:numPr>
          <w:ilvl w:val="0"/>
          <w:numId w:val="4"/>
        </w:numPr>
        <w:tabs>
          <w:tab w:val="clear" w:pos="709"/>
        </w:tabs>
        <w:adjustRightInd w:val="0"/>
        <w:spacing w:before="0" w:beforeAutospacing="0" w:after="0" w:afterAutospacing="0" w:line="400" w:lineRule="exact"/>
        <w:jc w:val="both"/>
        <w:outlineLvl w:val="2"/>
        <w:rPr>
          <w:rFonts w:ascii="宋体" w:eastAsia="宋体" w:cs="微软雅黑"/>
          <w:sz w:val="24"/>
          <w:szCs w:val="24"/>
        </w:rPr>
      </w:pPr>
      <w:r>
        <w:rPr>
          <w:rFonts w:hint="eastAsia" w:ascii="宋体" w:eastAsia="宋体" w:cs="微软雅黑"/>
          <w:sz w:val="24"/>
          <w:szCs w:val="24"/>
        </w:rPr>
        <w:t>响应的澄清</w:t>
      </w:r>
    </w:p>
    <w:p>
      <w:pPr>
        <w:pStyle w:val="32"/>
        <w:widowControl w:val="0"/>
        <w:numPr>
          <w:ilvl w:val="1"/>
          <w:numId w:val="4"/>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32"/>
        <w:widowControl w:val="0"/>
        <w:numPr>
          <w:ilvl w:val="1"/>
          <w:numId w:val="4"/>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32"/>
        <w:widowControl w:val="0"/>
        <w:numPr>
          <w:ilvl w:val="1"/>
          <w:numId w:val="4"/>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32"/>
        <w:widowControl w:val="0"/>
        <w:numPr>
          <w:ilvl w:val="0"/>
          <w:numId w:val="4"/>
        </w:numPr>
        <w:tabs>
          <w:tab w:val="clear" w:pos="709"/>
        </w:tabs>
        <w:adjustRightInd w:val="0"/>
        <w:spacing w:before="0" w:beforeAutospacing="0" w:after="0" w:afterAutospacing="0" w:line="400" w:lineRule="exact"/>
        <w:jc w:val="both"/>
        <w:outlineLvl w:val="2"/>
        <w:rPr>
          <w:rFonts w:ascii="宋体" w:eastAsia="宋体" w:cs="微软雅黑"/>
          <w:sz w:val="24"/>
          <w:szCs w:val="24"/>
        </w:rPr>
      </w:pPr>
      <w:r>
        <w:rPr>
          <w:rFonts w:hint="eastAsia" w:ascii="宋体" w:eastAsia="宋体" w:cs="微软雅黑"/>
          <w:sz w:val="24"/>
          <w:szCs w:val="24"/>
        </w:rPr>
        <w:t>对响应文件的详细评审</w:t>
      </w:r>
    </w:p>
    <w:p>
      <w:pPr>
        <w:pStyle w:val="32"/>
        <w:widowControl w:val="0"/>
        <w:numPr>
          <w:ilvl w:val="1"/>
          <w:numId w:val="4"/>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32"/>
        <w:widowControl w:val="0"/>
        <w:numPr>
          <w:ilvl w:val="1"/>
          <w:numId w:val="4"/>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32"/>
        <w:widowControl w:val="0"/>
        <w:numPr>
          <w:ilvl w:val="1"/>
          <w:numId w:val="4"/>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w:t>
      </w:r>
    </w:p>
    <w:p>
      <w:pPr>
        <w:pStyle w:val="32"/>
        <w:widowControl w:val="0"/>
        <w:numPr>
          <w:ilvl w:val="1"/>
          <w:numId w:val="4"/>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经磋商确定最终采购需求和提交最后报价的供应商后，由谈判小组采用综合评议法对提交最后报价的供应商的响应文件和最后报价进行综合评议。</w:t>
      </w:r>
    </w:p>
    <w:p>
      <w:pPr>
        <w:pStyle w:val="32"/>
        <w:widowControl w:val="0"/>
        <w:numPr>
          <w:ilvl w:val="1"/>
          <w:numId w:val="4"/>
        </w:numPr>
        <w:adjustRightInd w:val="0"/>
        <w:spacing w:before="0" w:beforeAutospacing="0" w:after="0" w:afterAutospacing="0" w:line="360" w:lineRule="auto"/>
        <w:jc w:val="both"/>
        <w:outlineLvl w:val="9"/>
        <w:rPr>
          <w:rFonts w:ascii="宋体" w:eastAsia="宋体" w:cs="微软雅黑"/>
          <w:sz w:val="24"/>
          <w:szCs w:val="28"/>
        </w:rPr>
      </w:pPr>
      <w:r>
        <w:rPr>
          <w:rFonts w:hint="eastAsia" w:ascii="宋体" w:eastAsia="宋体" w:cs="微软雅黑"/>
          <w:sz w:val="24"/>
          <w:szCs w:val="28"/>
        </w:rPr>
        <w:t>综合评分法：</w:t>
      </w:r>
    </w:p>
    <w:p>
      <w:pPr>
        <w:spacing w:line="360" w:lineRule="auto"/>
        <w:rPr>
          <w:rFonts w:ascii="宋体"/>
          <w:sz w:val="24"/>
        </w:rPr>
      </w:pPr>
      <w:r>
        <w:rPr>
          <w:rFonts w:hint="eastAsia" w:ascii="宋体" w:hAnsi="宋体"/>
          <w:sz w:val="24"/>
        </w:rPr>
        <w:t>首先，由评标委员会根据招标文件要求，审核各投标文件是否合格、有效，凡不符合要求和未能实质性响应招标文件要求的投标文件均不进入评议程序。如果发现下列情况之一的，其投标将被拒绝而作为废标处理：</w:t>
      </w:r>
    </w:p>
    <w:p>
      <w:pPr>
        <w:pStyle w:val="32"/>
        <w:widowControl w:val="0"/>
        <w:adjustRightInd w:val="0"/>
        <w:spacing w:before="0" w:beforeAutospacing="0" w:after="0" w:afterAutospacing="0" w:line="400" w:lineRule="exact"/>
        <w:ind w:firstLineChars="200"/>
        <w:jc w:val="both"/>
        <w:outlineLvl w:val="9"/>
        <w:rPr>
          <w:rFonts w:ascii="宋体" w:eastAsia="宋体" w:cs="微软雅黑"/>
          <w:sz w:val="24"/>
          <w:szCs w:val="24"/>
        </w:rPr>
      </w:pPr>
      <w:r>
        <w:rPr>
          <w:rFonts w:hint="eastAsia" w:ascii="宋体" w:eastAsia="宋体" w:cs="微软雅黑"/>
          <w:sz w:val="24"/>
          <w:szCs w:val="24"/>
        </w:rPr>
        <w:t>1. 投标文件未按规定密封或采用活页装订；</w:t>
      </w:r>
    </w:p>
    <w:p>
      <w:pPr>
        <w:spacing w:line="360" w:lineRule="auto"/>
        <w:ind w:firstLine="480" w:firstLineChars="200"/>
        <w:rPr>
          <w:rFonts w:ascii="宋体"/>
          <w:sz w:val="24"/>
        </w:rPr>
      </w:pPr>
      <w:r>
        <w:rPr>
          <w:rFonts w:ascii="宋体" w:hAnsi="宋体"/>
          <w:sz w:val="24"/>
        </w:rPr>
        <w:t xml:space="preserve">2. </w:t>
      </w:r>
      <w:r>
        <w:rPr>
          <w:rFonts w:hint="eastAsia" w:ascii="宋体" w:hAnsi="宋体"/>
          <w:sz w:val="24"/>
        </w:rPr>
        <w:t>未加盖法人公章或未经法定代表人（或其委托代理人）签字的；</w:t>
      </w:r>
    </w:p>
    <w:p>
      <w:pPr>
        <w:spacing w:line="360" w:lineRule="auto"/>
        <w:ind w:firstLine="480" w:firstLineChars="200"/>
        <w:rPr>
          <w:rFonts w:ascii="宋体"/>
          <w:sz w:val="24"/>
        </w:rPr>
      </w:pPr>
      <w:r>
        <w:rPr>
          <w:rFonts w:hint="eastAsia" w:ascii="宋体" w:hAnsi="宋体"/>
          <w:sz w:val="24"/>
        </w:rPr>
        <w:t>3</w:t>
      </w:r>
      <w:r>
        <w:rPr>
          <w:rFonts w:ascii="宋体" w:hAnsi="宋体"/>
          <w:sz w:val="24"/>
        </w:rPr>
        <w:t xml:space="preserve">. </w:t>
      </w:r>
      <w:r>
        <w:rPr>
          <w:rFonts w:hint="eastAsia" w:ascii="宋体" w:hAnsi="宋体"/>
          <w:sz w:val="24"/>
        </w:rPr>
        <w:t>未按招标文件规定的格式填写或投标报价一览表等关键内容字迹模不清的；</w:t>
      </w:r>
    </w:p>
    <w:p>
      <w:pPr>
        <w:pStyle w:val="32"/>
        <w:widowControl w:val="0"/>
        <w:adjustRightInd w:val="0"/>
        <w:spacing w:before="0" w:beforeAutospacing="0" w:after="0" w:afterAutospacing="0" w:line="400" w:lineRule="exact"/>
        <w:ind w:firstLineChars="200"/>
        <w:jc w:val="both"/>
        <w:outlineLvl w:val="9"/>
        <w:rPr>
          <w:rFonts w:ascii="宋体" w:eastAsia="宋体" w:cs="微软雅黑"/>
          <w:sz w:val="24"/>
          <w:szCs w:val="24"/>
        </w:rPr>
      </w:pPr>
      <w:r>
        <w:rPr>
          <w:rFonts w:hint="eastAsia" w:ascii="宋体" w:eastAsia="宋体" w:cs="微软雅黑"/>
          <w:sz w:val="24"/>
          <w:szCs w:val="24"/>
        </w:rPr>
        <w:t>4. 未实质性响应本文件中带★号的条款要求的；</w:t>
      </w:r>
    </w:p>
    <w:p>
      <w:pPr>
        <w:pStyle w:val="32"/>
        <w:widowControl w:val="0"/>
        <w:adjustRightInd w:val="0"/>
        <w:spacing w:before="0" w:beforeAutospacing="0" w:after="0" w:afterAutospacing="0" w:line="400" w:lineRule="exact"/>
        <w:ind w:firstLineChars="200"/>
        <w:jc w:val="both"/>
        <w:outlineLvl w:val="9"/>
        <w:rPr>
          <w:rFonts w:ascii="宋体" w:eastAsia="宋体" w:cs="微软雅黑"/>
          <w:sz w:val="24"/>
          <w:szCs w:val="24"/>
        </w:rPr>
      </w:pPr>
      <w:r>
        <w:rPr>
          <w:rFonts w:hint="eastAsia" w:ascii="宋体" w:eastAsia="宋体" w:cs="微软雅黑"/>
          <w:sz w:val="24"/>
          <w:szCs w:val="24"/>
        </w:rPr>
        <w:t>5. 不符合法律法规和不能满足招标文件提出的实质性要求和条件；</w:t>
      </w:r>
    </w:p>
    <w:p>
      <w:pPr>
        <w:pStyle w:val="32"/>
        <w:widowControl w:val="0"/>
        <w:adjustRightInd w:val="0"/>
        <w:spacing w:before="0" w:beforeAutospacing="0" w:after="0" w:afterAutospacing="0" w:line="400" w:lineRule="exact"/>
        <w:ind w:firstLineChars="200"/>
        <w:jc w:val="both"/>
        <w:outlineLvl w:val="9"/>
        <w:rPr>
          <w:rFonts w:ascii="宋体" w:eastAsia="宋体" w:cs="微软雅黑"/>
          <w:sz w:val="24"/>
          <w:szCs w:val="24"/>
        </w:rPr>
      </w:pPr>
      <w:r>
        <w:rPr>
          <w:rFonts w:hint="eastAsia" w:ascii="宋体" w:eastAsia="宋体" w:cs="微软雅黑"/>
          <w:sz w:val="24"/>
          <w:szCs w:val="24"/>
        </w:rPr>
        <w:t>6. 投标文件中提供虚假或失实资料的；</w:t>
      </w:r>
    </w:p>
    <w:p>
      <w:pPr>
        <w:spacing w:line="360" w:lineRule="auto"/>
        <w:ind w:firstLine="480" w:firstLineChars="200"/>
        <w:rPr>
          <w:rFonts w:ascii="宋体" w:hAnsi="宋体"/>
          <w:sz w:val="24"/>
        </w:rPr>
      </w:pPr>
      <w:r>
        <w:rPr>
          <w:rFonts w:hint="eastAsia" w:ascii="宋体" w:hAnsi="宋体"/>
          <w:sz w:val="24"/>
        </w:rPr>
        <w:t>7</w:t>
      </w:r>
      <w:r>
        <w:rPr>
          <w:rFonts w:ascii="宋体" w:hAnsi="宋体"/>
          <w:sz w:val="24"/>
        </w:rPr>
        <w:t xml:space="preserve">. </w:t>
      </w:r>
      <w:r>
        <w:rPr>
          <w:rFonts w:hint="eastAsia" w:ascii="宋体" w:hAnsi="宋体"/>
          <w:sz w:val="24"/>
        </w:rPr>
        <w:t>投标报价超过本项目最高控制价，采购人不能支付的。</w:t>
      </w:r>
    </w:p>
    <w:p>
      <w:pPr>
        <w:spacing w:line="360" w:lineRule="auto"/>
        <w:rPr>
          <w:rFonts w:ascii="宋体" w:hAnsi="宋体"/>
          <w:sz w:val="24"/>
        </w:rPr>
      </w:pPr>
      <w:r>
        <w:rPr>
          <w:rFonts w:hint="eastAsia" w:ascii="宋体" w:hAnsi="宋体"/>
          <w:sz w:val="24"/>
        </w:rPr>
        <w:t>对资格性检查和符合性检查合格的投标文件进入综合评分。评标委员会各位评委依据评分标准以及各项权重，就每个合格投标人的投标文件及其对招标文件要求的响应情况进行综合比较和评价，统计每个通过审核的投标人的技术、商务、价格及附加项目（如有）得分，评标委员会根据最终评审的结果，推荐综合得分最高的投标人中标，如综合得分相同，以报价较低者中标。</w:t>
      </w:r>
    </w:p>
    <w:p>
      <w:pPr>
        <w:pStyle w:val="34"/>
        <w:numPr>
          <w:ilvl w:val="1"/>
          <w:numId w:val="4"/>
        </w:numPr>
        <w:ind w:firstLineChars="0"/>
        <w:rPr>
          <w:rFonts w:ascii="宋体" w:hAnsi="宋体" w:cs="微软雅黑"/>
          <w:kern w:val="0"/>
          <w:sz w:val="24"/>
          <w:szCs w:val="24"/>
        </w:rPr>
      </w:pPr>
      <w:r>
        <w:rPr>
          <w:rFonts w:hint="eastAsia" w:ascii="宋体" w:hAnsi="宋体" w:cs="微软雅黑"/>
          <w:kern w:val="0"/>
          <w:sz w:val="24"/>
          <w:szCs w:val="24"/>
        </w:rPr>
        <w:t>磋商小组依据总分（技术分与报价分之和）由高到低的顺序确定总分最高的响应方为中标供应商，并拟制磋商结果报告。</w:t>
      </w:r>
    </w:p>
    <w:p>
      <w:pPr>
        <w:pStyle w:val="32"/>
        <w:widowControl w:val="0"/>
        <w:numPr>
          <w:ilvl w:val="1"/>
          <w:numId w:val="4"/>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规模、品牌代理实力、经营能力、企业管理水平。</w:t>
      </w:r>
    </w:p>
    <w:p>
      <w:pPr>
        <w:pStyle w:val="32"/>
        <w:widowControl w:val="0"/>
        <w:numPr>
          <w:ilvl w:val="0"/>
          <w:numId w:val="4"/>
        </w:numPr>
        <w:tabs>
          <w:tab w:val="clear" w:pos="709"/>
        </w:tabs>
        <w:adjustRightInd w:val="0"/>
        <w:spacing w:before="0" w:beforeAutospacing="0" w:after="0" w:afterAutospacing="0" w:line="400" w:lineRule="exact"/>
        <w:jc w:val="both"/>
        <w:outlineLvl w:val="2"/>
        <w:rPr>
          <w:rFonts w:ascii="宋体" w:eastAsia="宋体" w:cs="微软雅黑"/>
          <w:sz w:val="24"/>
          <w:szCs w:val="24"/>
        </w:rPr>
      </w:pPr>
      <w:r>
        <w:rPr>
          <w:rFonts w:hint="eastAsia" w:ascii="宋体" w:eastAsia="宋体" w:cs="微软雅黑"/>
          <w:sz w:val="24"/>
          <w:szCs w:val="24"/>
        </w:rPr>
        <w:t>确定成交人</w:t>
      </w:r>
    </w:p>
    <w:p>
      <w:pPr>
        <w:pStyle w:val="32"/>
        <w:widowControl w:val="0"/>
        <w:numPr>
          <w:ilvl w:val="1"/>
          <w:numId w:val="4"/>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32"/>
        <w:widowControl w:val="0"/>
        <w:numPr>
          <w:ilvl w:val="1"/>
          <w:numId w:val="4"/>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32"/>
        <w:widowControl w:val="0"/>
        <w:numPr>
          <w:ilvl w:val="1"/>
          <w:numId w:val="4"/>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w:t>
      </w:r>
    </w:p>
    <w:p>
      <w:pPr>
        <w:pStyle w:val="32"/>
        <w:widowControl w:val="0"/>
        <w:numPr>
          <w:ilvl w:val="1"/>
          <w:numId w:val="4"/>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采购人也可授权谈判小组按本条规定直接确定成交人。</w:t>
      </w:r>
    </w:p>
    <w:p>
      <w:pPr>
        <w:pStyle w:val="32"/>
        <w:widowControl w:val="0"/>
        <w:numPr>
          <w:ilvl w:val="1"/>
          <w:numId w:val="4"/>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32"/>
        <w:widowControl w:val="0"/>
        <w:numPr>
          <w:ilvl w:val="1"/>
          <w:numId w:val="4"/>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采购人出磋商谈判规定外，不得通过对样品进行检测、对供应商进行考察等方式改变评审结果。</w:t>
      </w:r>
    </w:p>
    <w:p>
      <w:pPr>
        <w:pStyle w:val="32"/>
        <w:widowControl w:val="0"/>
        <w:numPr>
          <w:ilvl w:val="0"/>
          <w:numId w:val="4"/>
        </w:numPr>
        <w:tabs>
          <w:tab w:val="clear" w:pos="709"/>
        </w:tabs>
        <w:adjustRightInd w:val="0"/>
        <w:spacing w:before="0" w:beforeAutospacing="0" w:after="0" w:afterAutospacing="0" w:line="400" w:lineRule="exact"/>
        <w:jc w:val="both"/>
        <w:outlineLvl w:val="2"/>
        <w:rPr>
          <w:rFonts w:ascii="宋体" w:eastAsia="宋体" w:cs="微软雅黑"/>
          <w:sz w:val="24"/>
          <w:szCs w:val="24"/>
        </w:rPr>
      </w:pPr>
      <w:r>
        <w:rPr>
          <w:rFonts w:hint="eastAsia" w:ascii="宋体" w:eastAsia="宋体" w:cs="微软雅黑"/>
          <w:sz w:val="24"/>
          <w:szCs w:val="24"/>
        </w:rPr>
        <w:t>评标过程保密</w:t>
      </w:r>
    </w:p>
    <w:p>
      <w:pPr>
        <w:pStyle w:val="32"/>
        <w:widowControl w:val="0"/>
        <w:numPr>
          <w:ilvl w:val="1"/>
          <w:numId w:val="4"/>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32"/>
        <w:widowControl w:val="0"/>
        <w:numPr>
          <w:ilvl w:val="1"/>
          <w:numId w:val="4"/>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在评标期间，响应人企图影响招投标中心或谈判小组的任何活动，将导致响应被拒绝，并由其承担相应的法律责任。</w:t>
      </w:r>
    </w:p>
    <w:p>
      <w:pPr>
        <w:pStyle w:val="32"/>
        <w:widowControl w:val="0"/>
        <w:numPr>
          <w:ilvl w:val="1"/>
          <w:numId w:val="4"/>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32"/>
        <w:widowControl w:val="0"/>
        <w:numPr>
          <w:ilvl w:val="0"/>
          <w:numId w:val="4"/>
        </w:numPr>
        <w:tabs>
          <w:tab w:val="clear" w:pos="709"/>
        </w:tabs>
        <w:adjustRightInd w:val="0"/>
        <w:spacing w:before="0" w:beforeAutospacing="0" w:after="0" w:afterAutospacing="0" w:line="400" w:lineRule="exact"/>
        <w:jc w:val="both"/>
        <w:outlineLvl w:val="2"/>
        <w:rPr>
          <w:rFonts w:ascii="宋体" w:eastAsia="宋体" w:cs="微软雅黑"/>
          <w:sz w:val="24"/>
          <w:szCs w:val="24"/>
        </w:rPr>
      </w:pPr>
      <w:r>
        <w:rPr>
          <w:rFonts w:hint="eastAsia" w:ascii="宋体" w:eastAsia="宋体" w:cs="微软雅黑"/>
          <w:sz w:val="24"/>
          <w:szCs w:val="24"/>
        </w:rPr>
        <w:t>关于响应人瑕疵滞后发现的处理规则：</w:t>
      </w:r>
    </w:p>
    <w:p>
      <w:pPr>
        <w:pStyle w:val="32"/>
        <w:widowControl w:val="0"/>
        <w:numPr>
          <w:ilvl w:val="1"/>
          <w:numId w:val="4"/>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32"/>
        <w:widowControl w:val="0"/>
        <w:numPr>
          <w:ilvl w:val="0"/>
          <w:numId w:val="4"/>
        </w:numPr>
        <w:tabs>
          <w:tab w:val="clear" w:pos="709"/>
        </w:tabs>
        <w:adjustRightInd w:val="0"/>
        <w:snapToGrid w:val="0"/>
        <w:spacing w:before="0" w:beforeAutospacing="0" w:after="0" w:afterAutospacing="0" w:line="400" w:lineRule="exact"/>
        <w:jc w:val="both"/>
        <w:outlineLvl w:val="2"/>
        <w:rPr>
          <w:rFonts w:ascii="宋体" w:eastAsia="宋体" w:cs="微软雅黑"/>
          <w:sz w:val="24"/>
          <w:szCs w:val="24"/>
        </w:rPr>
      </w:pPr>
      <w:r>
        <w:rPr>
          <w:rFonts w:hint="eastAsia" w:ascii="宋体" w:eastAsia="宋体" w:cs="微软雅黑"/>
          <w:sz w:val="24"/>
          <w:szCs w:val="24"/>
        </w:rPr>
        <w:t>采购项目废标</w:t>
      </w:r>
    </w:p>
    <w:p>
      <w:pPr>
        <w:pStyle w:val="32"/>
        <w:widowControl w:val="0"/>
        <w:numPr>
          <w:ilvl w:val="1"/>
          <w:numId w:val="4"/>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7"/>
        </w:numPr>
        <w:spacing w:line="360" w:lineRule="auto"/>
        <w:ind w:firstLine="720" w:firstLineChars="300"/>
        <w:rPr>
          <w:rFonts w:ascii="宋体" w:hAnsi="宋体" w:cs="微软雅黑"/>
          <w:kern w:val="0"/>
          <w:sz w:val="24"/>
        </w:rPr>
      </w:pPr>
      <w:r>
        <w:rPr>
          <w:rFonts w:hint="eastAsia" w:ascii="宋体" w:hAnsi="宋体" w:cs="微软雅黑"/>
          <w:kern w:val="0"/>
          <w:sz w:val="24"/>
        </w:rPr>
        <w:t>因情况变化，不再符合规定的竞争性磋商采购方式适用情形的；</w:t>
      </w:r>
    </w:p>
    <w:p>
      <w:pPr>
        <w:numPr>
          <w:ilvl w:val="0"/>
          <w:numId w:val="7"/>
        </w:numPr>
        <w:spacing w:line="360" w:lineRule="auto"/>
        <w:ind w:firstLine="720" w:firstLineChars="300"/>
        <w:rPr>
          <w:rFonts w:ascii="宋体" w:cs="微软雅黑"/>
          <w:sz w:val="24"/>
        </w:rPr>
      </w:pPr>
      <w:r>
        <w:rPr>
          <w:rFonts w:hint="eastAsia" w:ascii="宋体" w:hAnsi="宋体"/>
          <w:sz w:val="24"/>
        </w:rPr>
        <w:t>出现影响采购公正的违法、违规行为的；</w:t>
      </w:r>
    </w:p>
    <w:p>
      <w:pPr>
        <w:numPr>
          <w:ilvl w:val="0"/>
          <w:numId w:val="7"/>
        </w:numPr>
        <w:spacing w:line="360" w:lineRule="auto"/>
        <w:ind w:firstLine="720" w:firstLineChars="300"/>
        <w:rPr>
          <w:rFonts w:ascii="宋体" w:cs="微软雅黑"/>
          <w:sz w:val="24"/>
        </w:rPr>
      </w:pPr>
      <w:r>
        <w:rPr>
          <w:rFonts w:hint="eastAsia" w:ascii="宋体" w:hAnsi="宋体" w:cs="微软雅黑"/>
          <w:sz w:val="24"/>
        </w:rPr>
        <w:t>采购项目废标后，谈判小组应作出书面报告。</w:t>
      </w:r>
    </w:p>
    <w:p>
      <w:pPr>
        <w:pStyle w:val="32"/>
        <w:widowControl w:val="0"/>
        <w:numPr>
          <w:ilvl w:val="1"/>
          <w:numId w:val="4"/>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32"/>
        <w:widowControl w:val="0"/>
        <w:numPr>
          <w:ilvl w:val="1"/>
          <w:numId w:val="4"/>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废标后，招投标中心应当将废标原因通知所有响应人。</w:t>
      </w:r>
    </w:p>
    <w:p>
      <w:pPr>
        <w:numPr>
          <w:ilvl w:val="0"/>
          <w:numId w:val="8"/>
        </w:numPr>
        <w:spacing w:line="360" w:lineRule="auto"/>
        <w:ind w:firstLine="482" w:firstLineChars="200"/>
        <w:outlineLvl w:val="1"/>
        <w:rPr>
          <w:rFonts w:ascii="宋体" w:hAnsi="宋体"/>
          <w:b/>
          <w:sz w:val="24"/>
          <w:highlight w:val="none"/>
        </w:rPr>
      </w:pPr>
      <w:r>
        <w:rPr>
          <w:rFonts w:hint="eastAsia" w:ascii="宋体" w:hAnsi="宋体"/>
          <w:b/>
          <w:sz w:val="24"/>
          <w:highlight w:val="none"/>
        </w:rPr>
        <w:t>评分标准：</w:t>
      </w:r>
    </w:p>
    <w:p>
      <w:pPr>
        <w:pStyle w:val="32"/>
        <w:widowControl w:val="0"/>
        <w:numPr>
          <w:ilvl w:val="0"/>
          <w:numId w:val="9"/>
        </w:numPr>
        <w:adjustRightInd w:val="0"/>
        <w:spacing w:before="0" w:beforeAutospacing="0" w:after="0" w:afterAutospacing="0" w:line="400" w:lineRule="exact"/>
        <w:jc w:val="both"/>
        <w:outlineLvl w:val="2"/>
        <w:rPr>
          <w:rFonts w:ascii="宋体" w:eastAsia="宋体" w:cs="微软雅黑"/>
          <w:b/>
          <w:bCs/>
          <w:sz w:val="24"/>
          <w:szCs w:val="24"/>
        </w:rPr>
      </w:pPr>
      <w:r>
        <w:rPr>
          <w:rFonts w:hint="eastAsia" w:ascii="宋体" w:eastAsia="宋体" w:cs="微软雅黑"/>
          <w:b/>
          <w:bCs/>
          <w:sz w:val="24"/>
          <w:szCs w:val="24"/>
        </w:rPr>
        <w:t>技术分F1（满分60分）</w:t>
      </w:r>
    </w:p>
    <w:tbl>
      <w:tblPr>
        <w:tblStyle w:val="19"/>
        <w:tblW w:w="10216"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783"/>
        <w:gridCol w:w="8692"/>
        <w:gridCol w:w="74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83" w:type="dxa"/>
            <w:tcBorders>
              <w:top w:val="single" w:color="auto" w:sz="6" w:space="0"/>
              <w:left w:val="single" w:color="auto" w:sz="6" w:space="0"/>
              <w:bottom w:val="single" w:color="auto" w:sz="4" w:space="0"/>
              <w:right w:val="single" w:color="auto" w:sz="4" w:space="0"/>
            </w:tcBorders>
            <w:vAlign w:val="center"/>
          </w:tcPr>
          <w:p>
            <w:pPr>
              <w:pStyle w:val="57"/>
              <w:autoSpaceDE w:val="0"/>
              <w:spacing w:line="360" w:lineRule="auto"/>
              <w:ind w:left="-37" w:leftChars="-42" w:right="-84" w:rightChars="-40" w:hanging="51" w:hangingChars="21"/>
              <w:jc w:val="center"/>
              <w:rPr>
                <w:rFonts w:hAnsi="宋体"/>
                <w:b/>
                <w:bCs/>
                <w:color w:val="auto"/>
                <w:kern w:val="10"/>
                <w:highlight w:val="none"/>
              </w:rPr>
            </w:pPr>
            <w:r>
              <w:rPr>
                <w:rFonts w:hint="eastAsia" w:hAnsi="宋体"/>
                <w:b/>
                <w:bCs/>
                <w:color w:val="auto"/>
                <w:kern w:val="10"/>
                <w:highlight w:val="none"/>
              </w:rPr>
              <w:t>序号</w:t>
            </w:r>
          </w:p>
        </w:tc>
        <w:tc>
          <w:tcPr>
            <w:tcW w:w="8692" w:type="dxa"/>
            <w:tcBorders>
              <w:top w:val="single" w:color="auto" w:sz="6" w:space="0"/>
              <w:left w:val="single" w:color="auto" w:sz="4" w:space="0"/>
              <w:bottom w:val="single" w:color="auto" w:sz="4" w:space="0"/>
              <w:right w:val="single" w:color="auto" w:sz="4" w:space="0"/>
            </w:tcBorders>
            <w:vAlign w:val="center"/>
          </w:tcPr>
          <w:p>
            <w:pPr>
              <w:pStyle w:val="57"/>
              <w:autoSpaceDE w:val="0"/>
              <w:spacing w:line="360" w:lineRule="auto"/>
              <w:ind w:firstLine="720"/>
              <w:jc w:val="center"/>
              <w:rPr>
                <w:rFonts w:hAnsi="宋体"/>
                <w:b/>
                <w:bCs/>
                <w:color w:val="auto"/>
                <w:kern w:val="2"/>
                <w:highlight w:val="none"/>
              </w:rPr>
            </w:pPr>
            <w:r>
              <w:rPr>
                <w:rFonts w:hint="eastAsia" w:hAnsi="宋体"/>
                <w:b/>
                <w:color w:val="auto"/>
                <w:highlight w:val="none"/>
              </w:rPr>
              <w:t>评分因素及评分细则</w:t>
            </w:r>
          </w:p>
        </w:tc>
        <w:tc>
          <w:tcPr>
            <w:tcW w:w="741" w:type="dxa"/>
            <w:tcBorders>
              <w:top w:val="single" w:color="auto" w:sz="6" w:space="0"/>
              <w:left w:val="single" w:color="auto" w:sz="4" w:space="0"/>
              <w:bottom w:val="single" w:color="auto" w:sz="4" w:space="0"/>
              <w:right w:val="single" w:color="auto" w:sz="6" w:space="0"/>
            </w:tcBorders>
            <w:vAlign w:val="center"/>
          </w:tcPr>
          <w:p>
            <w:pPr>
              <w:pStyle w:val="57"/>
              <w:autoSpaceDE w:val="0"/>
              <w:spacing w:line="360" w:lineRule="auto"/>
              <w:rPr>
                <w:rFonts w:hAnsi="宋体"/>
                <w:b/>
                <w:bCs/>
                <w:color w:val="auto"/>
                <w:kern w:val="2"/>
                <w:highlight w:val="none"/>
              </w:rPr>
            </w:pPr>
            <w:r>
              <w:rPr>
                <w:rFonts w:hint="eastAsia" w:hAnsi="宋体"/>
                <w:b/>
                <w:bCs/>
                <w:color w:val="auto"/>
                <w:kern w:val="2"/>
                <w:highlight w:val="none"/>
              </w:rPr>
              <w:t>分值</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83" w:type="dxa"/>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ascii="宋体" w:hAnsi="宋体" w:cs="宋体"/>
                <w:bCs/>
                <w:color w:val="auto"/>
                <w:kern w:val="10"/>
                <w:highlight w:val="none"/>
              </w:rPr>
            </w:pPr>
            <w:r>
              <w:rPr>
                <w:rFonts w:hint="eastAsia" w:ascii="宋体" w:hAnsi="宋体" w:cs="宋体"/>
                <w:color w:val="auto"/>
                <w:sz w:val="24"/>
                <w:highlight w:val="none"/>
              </w:rPr>
              <w:t>1-1</w:t>
            </w:r>
          </w:p>
        </w:tc>
        <w:tc>
          <w:tcPr>
            <w:tcW w:w="8692" w:type="dxa"/>
            <w:tcBorders>
              <w:top w:val="single" w:color="auto" w:sz="6" w:space="0"/>
              <w:left w:val="single" w:color="auto" w:sz="4" w:space="0"/>
              <w:bottom w:val="single" w:color="auto" w:sz="6" w:space="0"/>
              <w:right w:val="single" w:color="auto" w:sz="4" w:space="0"/>
            </w:tcBorders>
          </w:tcPr>
          <w:p>
            <w:pPr>
              <w:widowControl/>
              <w:spacing w:line="360" w:lineRule="auto"/>
              <w:jc w:val="left"/>
              <w:rPr>
                <w:rFonts w:ascii="宋体" w:hAnsi="宋体" w:cs="宋体"/>
                <w:color w:val="auto"/>
                <w:kern w:val="0"/>
                <w:sz w:val="24"/>
                <w:highlight w:val="none"/>
              </w:rPr>
            </w:pPr>
            <w:r>
              <w:rPr>
                <w:rFonts w:hint="eastAsia" w:ascii="宋体" w:hAnsi="宋体"/>
                <w:color w:val="auto"/>
                <w:kern w:val="0"/>
                <w:sz w:val="24"/>
                <w:highlight w:val="none"/>
              </w:rPr>
              <w:t>根据磋商响应供应商提供的方案，设备满足有效热区尺寸为</w:t>
            </w:r>
            <w:r>
              <w:rPr>
                <w:rFonts w:hint="eastAsia" w:ascii="宋体" w:hAnsi="宋体"/>
                <w:color w:val="auto"/>
                <w:sz w:val="24"/>
                <w:highlight w:val="none"/>
              </w:rPr>
              <w:t>5</w:t>
            </w:r>
            <w:r>
              <w:rPr>
                <w:rFonts w:ascii="宋体" w:hAnsi="宋体"/>
                <w:color w:val="auto"/>
                <w:sz w:val="24"/>
                <w:highlight w:val="none"/>
              </w:rPr>
              <w:t>00</w:t>
            </w:r>
            <w:r>
              <w:rPr>
                <w:rFonts w:hint="eastAsia" w:ascii="宋体" w:hAnsi="宋体"/>
                <w:color w:val="auto"/>
                <w:sz w:val="24"/>
                <w:highlight w:val="none"/>
              </w:rPr>
              <w:t>mm（宽）</w:t>
            </w:r>
            <w:r>
              <w:rPr>
                <w:rFonts w:ascii="TimesNewRomanPSMT" w:hAnsi="TimesNewRomanPSMT"/>
                <w:color w:val="auto"/>
                <w:sz w:val="24"/>
                <w:highlight w:val="none"/>
              </w:rPr>
              <w:t>× 500mm</w:t>
            </w:r>
            <w:r>
              <w:rPr>
                <w:rFonts w:hint="eastAsia" w:ascii="TimesNewRomanPSMT" w:hAnsi="TimesNewRomanPSMT"/>
                <w:color w:val="auto"/>
                <w:sz w:val="24"/>
                <w:highlight w:val="none"/>
              </w:rPr>
              <w:t>（高）</w:t>
            </w:r>
            <w:r>
              <w:rPr>
                <w:rFonts w:ascii="TimesNewRomanPSMT" w:hAnsi="TimesNewRomanPSMT"/>
                <w:color w:val="auto"/>
                <w:sz w:val="24"/>
                <w:highlight w:val="none"/>
              </w:rPr>
              <w:t xml:space="preserve">× </w:t>
            </w:r>
            <w:r>
              <w:rPr>
                <w:rFonts w:hint="eastAsia" w:ascii="宋体" w:hAnsi="宋体"/>
                <w:color w:val="auto"/>
                <w:sz w:val="24"/>
                <w:highlight w:val="none"/>
              </w:rPr>
              <w:t>7</w:t>
            </w:r>
            <w:r>
              <w:rPr>
                <w:rFonts w:ascii="宋体" w:hAnsi="宋体"/>
                <w:color w:val="auto"/>
                <w:sz w:val="24"/>
                <w:highlight w:val="none"/>
              </w:rPr>
              <w:t>00mm</w:t>
            </w:r>
            <w:r>
              <w:rPr>
                <w:rFonts w:hint="eastAsia" w:ascii="宋体" w:hAnsi="宋体"/>
                <w:color w:val="auto"/>
                <w:sz w:val="24"/>
                <w:highlight w:val="none"/>
              </w:rPr>
              <w:t>（深），提</w:t>
            </w:r>
            <w:r>
              <w:rPr>
                <w:rFonts w:hint="eastAsia" w:ascii="宋体" w:hAnsi="宋体" w:cs="宋体"/>
                <w:color w:val="auto"/>
                <w:sz w:val="24"/>
                <w:highlight w:val="none"/>
              </w:rPr>
              <w:t>供功能性功能截图说明等证明材料</w:t>
            </w:r>
            <w:r>
              <w:rPr>
                <w:rFonts w:hint="eastAsia" w:ascii="宋体" w:hAnsi="宋体"/>
                <w:color w:val="auto"/>
                <w:sz w:val="24"/>
                <w:highlight w:val="none"/>
              </w:rPr>
              <w:t>得1分，不满足为0分。</w:t>
            </w:r>
          </w:p>
        </w:tc>
        <w:tc>
          <w:tcPr>
            <w:tcW w:w="741" w:type="dxa"/>
            <w:tcBorders>
              <w:top w:val="single" w:color="auto" w:sz="6" w:space="0"/>
              <w:left w:val="single" w:color="auto" w:sz="4" w:space="0"/>
              <w:bottom w:val="single" w:color="auto" w:sz="6" w:space="0"/>
              <w:right w:val="single" w:color="auto" w:sz="6" w:space="0"/>
            </w:tcBorders>
            <w:vAlign w:val="center"/>
          </w:tcPr>
          <w:p>
            <w:pPr>
              <w:widowControl/>
              <w:spacing w:line="360" w:lineRule="auto"/>
              <w:jc w:val="center"/>
              <w:rPr>
                <w:rFonts w:ascii="宋体" w:hAnsi="宋体" w:cs="宋体"/>
                <w:color w:val="auto"/>
                <w:sz w:val="24"/>
                <w:highlight w:val="none"/>
              </w:rPr>
            </w:pPr>
            <w:r>
              <w:rPr>
                <w:rFonts w:ascii="宋体" w:hAnsi="宋体" w:cs="宋体"/>
                <w:color w:val="auto"/>
                <w:kern w:val="0"/>
                <w:sz w:val="24"/>
                <w:highlight w:val="none"/>
              </w:rPr>
              <w:t>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83" w:type="dxa"/>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ascii="宋体" w:hAnsi="宋体" w:cs="宋体"/>
                <w:bCs/>
                <w:color w:val="auto"/>
                <w:kern w:val="10"/>
                <w:sz w:val="28"/>
                <w:highlight w:val="none"/>
              </w:rPr>
            </w:pPr>
            <w:r>
              <w:rPr>
                <w:rFonts w:hint="eastAsia" w:ascii="宋体" w:hAnsi="宋体" w:cs="宋体"/>
                <w:color w:val="auto"/>
                <w:sz w:val="24"/>
                <w:highlight w:val="none"/>
              </w:rPr>
              <w:t>1-2</w:t>
            </w:r>
          </w:p>
        </w:tc>
        <w:tc>
          <w:tcPr>
            <w:tcW w:w="8692" w:type="dxa"/>
            <w:tcBorders>
              <w:top w:val="single" w:color="auto" w:sz="6" w:space="0"/>
              <w:left w:val="single" w:color="auto" w:sz="4" w:space="0"/>
              <w:bottom w:val="single" w:color="auto" w:sz="6" w:space="0"/>
              <w:right w:val="single" w:color="auto" w:sz="4" w:space="0"/>
            </w:tcBorders>
          </w:tcPr>
          <w:p>
            <w:pPr>
              <w:widowControl/>
              <w:spacing w:line="360" w:lineRule="auto"/>
              <w:jc w:val="left"/>
              <w:rPr>
                <w:rFonts w:ascii="宋体" w:hAnsi="宋体" w:cs="宋体"/>
                <w:color w:val="auto"/>
                <w:kern w:val="0"/>
                <w:sz w:val="24"/>
                <w:highlight w:val="none"/>
              </w:rPr>
            </w:pPr>
            <w:r>
              <w:rPr>
                <w:rFonts w:hint="eastAsia" w:ascii="宋体" w:hAnsi="宋体"/>
                <w:color w:val="auto"/>
                <w:kern w:val="0"/>
                <w:sz w:val="24"/>
                <w:highlight w:val="none"/>
              </w:rPr>
              <w:t>根据磋商响应供应商提供的方案，设备满足额定装载量为5</w:t>
            </w:r>
            <w:r>
              <w:rPr>
                <w:rFonts w:ascii="宋体" w:hAnsi="宋体"/>
                <w:color w:val="auto"/>
                <w:kern w:val="0"/>
                <w:sz w:val="24"/>
                <w:highlight w:val="none"/>
              </w:rPr>
              <w:t>00kg</w:t>
            </w:r>
            <w:r>
              <w:rPr>
                <w:rFonts w:hint="eastAsia" w:ascii="宋体" w:hAnsi="宋体"/>
                <w:color w:val="auto"/>
                <w:kern w:val="0"/>
                <w:sz w:val="24"/>
                <w:highlight w:val="none"/>
              </w:rPr>
              <w:t>（含工装），</w:t>
            </w:r>
            <w:r>
              <w:rPr>
                <w:rFonts w:hint="eastAsia" w:ascii="宋体" w:hAnsi="宋体"/>
                <w:color w:val="auto"/>
                <w:sz w:val="24"/>
                <w:highlight w:val="none"/>
              </w:rPr>
              <w:t>提</w:t>
            </w:r>
            <w:r>
              <w:rPr>
                <w:rFonts w:hint="eastAsia" w:ascii="宋体" w:hAnsi="宋体" w:cs="宋体"/>
                <w:color w:val="auto"/>
                <w:sz w:val="24"/>
                <w:highlight w:val="none"/>
              </w:rPr>
              <w:t>供功能性功能截图说明等证明材料</w:t>
            </w:r>
            <w:r>
              <w:rPr>
                <w:rFonts w:hint="eastAsia" w:ascii="宋体" w:hAnsi="宋体"/>
                <w:color w:val="auto"/>
                <w:kern w:val="0"/>
                <w:sz w:val="24"/>
                <w:highlight w:val="none"/>
              </w:rPr>
              <w:t>得1分，不满足为0分。</w:t>
            </w:r>
          </w:p>
        </w:tc>
        <w:tc>
          <w:tcPr>
            <w:tcW w:w="741" w:type="dxa"/>
            <w:tcBorders>
              <w:top w:val="single" w:color="auto" w:sz="6" w:space="0"/>
              <w:left w:val="single" w:color="auto" w:sz="4" w:space="0"/>
              <w:bottom w:val="single" w:color="auto" w:sz="6" w:space="0"/>
              <w:right w:val="single" w:color="auto" w:sz="6" w:space="0"/>
            </w:tcBorders>
            <w:vAlign w:val="center"/>
          </w:tcPr>
          <w:p>
            <w:pPr>
              <w:widowControl/>
              <w:spacing w:line="360" w:lineRule="auto"/>
              <w:jc w:val="center"/>
              <w:rPr>
                <w:rFonts w:ascii="宋体" w:hAnsi="宋体" w:cs="宋体"/>
                <w:color w:val="auto"/>
                <w:kern w:val="0"/>
                <w:sz w:val="24"/>
                <w:highlight w:val="none"/>
              </w:rPr>
            </w:pPr>
            <w:r>
              <w:rPr>
                <w:rFonts w:ascii="宋体" w:hAnsi="宋体" w:cs="宋体"/>
                <w:color w:val="auto"/>
                <w:kern w:val="0"/>
                <w:sz w:val="24"/>
                <w:highlight w:val="none"/>
              </w:rPr>
              <w:t>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83" w:type="dxa"/>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ascii="宋体" w:hAnsi="宋体" w:cs="宋体"/>
                <w:bCs/>
                <w:color w:val="auto"/>
                <w:kern w:val="10"/>
                <w:sz w:val="28"/>
                <w:highlight w:val="none"/>
              </w:rPr>
            </w:pPr>
            <w:r>
              <w:rPr>
                <w:rFonts w:hint="eastAsia" w:ascii="宋体" w:hAnsi="宋体" w:cs="宋体"/>
                <w:color w:val="auto"/>
                <w:sz w:val="24"/>
                <w:highlight w:val="none"/>
              </w:rPr>
              <w:t>1-3</w:t>
            </w:r>
          </w:p>
        </w:tc>
        <w:tc>
          <w:tcPr>
            <w:tcW w:w="8692" w:type="dxa"/>
            <w:tcBorders>
              <w:top w:val="single" w:color="auto" w:sz="6" w:space="0"/>
              <w:left w:val="single" w:color="auto" w:sz="4" w:space="0"/>
              <w:bottom w:val="single" w:color="auto" w:sz="6" w:space="0"/>
              <w:right w:val="single" w:color="auto" w:sz="4" w:space="0"/>
            </w:tcBorders>
          </w:tcPr>
          <w:p>
            <w:pPr>
              <w:widowControl/>
              <w:spacing w:line="360" w:lineRule="auto"/>
              <w:jc w:val="left"/>
              <w:rPr>
                <w:rFonts w:ascii="宋体" w:hAnsi="宋体" w:cs="宋体"/>
                <w:color w:val="auto"/>
                <w:kern w:val="0"/>
                <w:sz w:val="24"/>
                <w:highlight w:val="none"/>
              </w:rPr>
            </w:pPr>
            <w:r>
              <w:rPr>
                <w:rFonts w:hint="eastAsia" w:ascii="宋体" w:hAnsi="宋体"/>
                <w:color w:val="auto"/>
                <w:kern w:val="0"/>
                <w:sz w:val="24"/>
                <w:highlight w:val="none"/>
              </w:rPr>
              <w:t>根据磋商响应供应商提供的方案，设备满足最高温度为1</w:t>
            </w:r>
            <w:r>
              <w:rPr>
                <w:rFonts w:ascii="宋体" w:hAnsi="宋体"/>
                <w:color w:val="auto"/>
                <w:kern w:val="0"/>
                <w:sz w:val="24"/>
                <w:highlight w:val="none"/>
              </w:rPr>
              <w:t>200℃</w:t>
            </w:r>
            <w:r>
              <w:rPr>
                <w:rFonts w:hint="eastAsia" w:ascii="宋体" w:hAnsi="宋体"/>
                <w:color w:val="auto"/>
                <w:kern w:val="0"/>
                <w:sz w:val="24"/>
                <w:highlight w:val="none"/>
              </w:rPr>
              <w:t>得，</w:t>
            </w:r>
            <w:r>
              <w:rPr>
                <w:rFonts w:hint="eastAsia" w:ascii="宋体" w:hAnsi="宋体"/>
                <w:color w:val="auto"/>
                <w:sz w:val="24"/>
                <w:highlight w:val="none"/>
              </w:rPr>
              <w:t>提</w:t>
            </w:r>
            <w:r>
              <w:rPr>
                <w:rFonts w:hint="eastAsia" w:ascii="宋体" w:hAnsi="宋体" w:cs="宋体"/>
                <w:color w:val="auto"/>
                <w:sz w:val="24"/>
                <w:highlight w:val="none"/>
              </w:rPr>
              <w:t>供功能性功能截图说明等证明材料得</w:t>
            </w:r>
            <w:r>
              <w:rPr>
                <w:rFonts w:hint="eastAsia" w:ascii="宋体" w:hAnsi="宋体"/>
                <w:color w:val="auto"/>
                <w:kern w:val="0"/>
                <w:sz w:val="24"/>
                <w:highlight w:val="none"/>
              </w:rPr>
              <w:t>1分，不满足为0分。</w:t>
            </w:r>
          </w:p>
        </w:tc>
        <w:tc>
          <w:tcPr>
            <w:tcW w:w="741" w:type="dxa"/>
            <w:tcBorders>
              <w:top w:val="single" w:color="auto" w:sz="6" w:space="0"/>
              <w:left w:val="single" w:color="auto" w:sz="4" w:space="0"/>
              <w:bottom w:val="single" w:color="auto" w:sz="6" w:space="0"/>
              <w:right w:val="single" w:color="auto" w:sz="6" w:space="0"/>
            </w:tcBorders>
            <w:vAlign w:val="center"/>
          </w:tcPr>
          <w:p>
            <w:pPr>
              <w:widowControl/>
              <w:spacing w:line="360" w:lineRule="auto"/>
              <w:jc w:val="center"/>
              <w:rPr>
                <w:rFonts w:ascii="宋体" w:hAnsi="宋体" w:cs="宋体"/>
                <w:color w:val="auto"/>
                <w:kern w:val="0"/>
                <w:sz w:val="24"/>
                <w:highlight w:val="none"/>
              </w:rPr>
            </w:pPr>
            <w:r>
              <w:rPr>
                <w:rFonts w:ascii="宋体" w:hAnsi="宋体" w:cs="宋体"/>
                <w:color w:val="auto"/>
                <w:sz w:val="24"/>
                <w:highlight w:val="none"/>
              </w:rPr>
              <w:t>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83" w:type="dxa"/>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8692" w:type="dxa"/>
            <w:tcBorders>
              <w:top w:val="single" w:color="auto" w:sz="6" w:space="0"/>
              <w:left w:val="single" w:color="auto" w:sz="4" w:space="0"/>
              <w:bottom w:val="single" w:color="auto" w:sz="6" w:space="0"/>
              <w:right w:val="single" w:color="auto" w:sz="4" w:space="0"/>
            </w:tcBorders>
          </w:tcPr>
          <w:p>
            <w:pPr>
              <w:widowControl/>
              <w:spacing w:line="360" w:lineRule="auto"/>
              <w:jc w:val="left"/>
              <w:rPr>
                <w:rFonts w:ascii="宋体" w:hAnsi="宋体" w:cs="宋体"/>
                <w:color w:val="auto"/>
                <w:kern w:val="0"/>
                <w:sz w:val="24"/>
                <w:highlight w:val="none"/>
              </w:rPr>
            </w:pPr>
            <w:r>
              <w:rPr>
                <w:rFonts w:hint="eastAsia" w:ascii="宋体" w:hAnsi="宋体"/>
                <w:color w:val="auto"/>
                <w:kern w:val="0"/>
                <w:sz w:val="24"/>
                <w:highlight w:val="none"/>
              </w:rPr>
              <w:t>根据磋商响应供应商提供的方案，设备具备脱脂系统（脱脂温度3</w:t>
            </w:r>
            <w:r>
              <w:rPr>
                <w:rFonts w:ascii="宋体" w:hAnsi="宋体"/>
                <w:color w:val="auto"/>
                <w:kern w:val="0"/>
                <w:sz w:val="24"/>
                <w:highlight w:val="none"/>
              </w:rPr>
              <w:t>00</w:t>
            </w:r>
            <w:r>
              <w:rPr>
                <w:rFonts w:hint="eastAsia" w:ascii="宋体" w:hAnsi="宋体"/>
                <w:color w:val="auto"/>
                <w:kern w:val="0"/>
                <w:sz w:val="24"/>
                <w:highlight w:val="none"/>
              </w:rPr>
              <w:t>℃-</w:t>
            </w:r>
            <w:r>
              <w:rPr>
                <w:rFonts w:ascii="宋体" w:hAnsi="宋体"/>
                <w:color w:val="auto"/>
                <w:kern w:val="0"/>
                <w:sz w:val="24"/>
                <w:highlight w:val="none"/>
              </w:rPr>
              <w:t>500℃</w:t>
            </w:r>
            <w:r>
              <w:rPr>
                <w:rFonts w:hint="eastAsia" w:ascii="宋体" w:hAnsi="宋体"/>
                <w:color w:val="auto"/>
                <w:kern w:val="0"/>
                <w:sz w:val="24"/>
                <w:highlight w:val="none"/>
              </w:rPr>
              <w:t>），</w:t>
            </w:r>
            <w:r>
              <w:rPr>
                <w:rFonts w:hint="eastAsia" w:ascii="宋体" w:hAnsi="宋体"/>
                <w:color w:val="auto"/>
                <w:sz w:val="24"/>
                <w:highlight w:val="none"/>
              </w:rPr>
              <w:t>提</w:t>
            </w:r>
            <w:r>
              <w:rPr>
                <w:rFonts w:hint="eastAsia" w:ascii="宋体" w:hAnsi="宋体" w:cs="宋体"/>
                <w:color w:val="auto"/>
                <w:sz w:val="24"/>
                <w:highlight w:val="none"/>
              </w:rPr>
              <w:t>供功能性功能截图说明等证明材料</w:t>
            </w:r>
            <w:r>
              <w:rPr>
                <w:rFonts w:hint="eastAsia" w:ascii="宋体" w:hAnsi="宋体"/>
                <w:color w:val="auto"/>
                <w:kern w:val="0"/>
                <w:sz w:val="24"/>
                <w:highlight w:val="none"/>
              </w:rPr>
              <w:t>得</w:t>
            </w:r>
            <w:r>
              <w:rPr>
                <w:rFonts w:ascii="宋体" w:hAnsi="宋体"/>
                <w:color w:val="auto"/>
                <w:kern w:val="0"/>
                <w:sz w:val="24"/>
                <w:highlight w:val="none"/>
              </w:rPr>
              <w:t>2</w:t>
            </w:r>
            <w:r>
              <w:rPr>
                <w:rFonts w:hint="eastAsia" w:ascii="宋体" w:hAnsi="宋体"/>
                <w:color w:val="auto"/>
                <w:kern w:val="0"/>
                <w:sz w:val="24"/>
                <w:highlight w:val="none"/>
              </w:rPr>
              <w:t>分，不满足为0分。</w:t>
            </w:r>
          </w:p>
        </w:tc>
        <w:tc>
          <w:tcPr>
            <w:tcW w:w="741" w:type="dxa"/>
            <w:tcBorders>
              <w:top w:val="single" w:color="auto" w:sz="6" w:space="0"/>
              <w:left w:val="single" w:color="auto" w:sz="4" w:space="0"/>
              <w:bottom w:val="single" w:color="auto" w:sz="6" w:space="0"/>
              <w:right w:val="single" w:color="auto" w:sz="6" w:space="0"/>
            </w:tcBorders>
            <w:vAlign w:val="center"/>
          </w:tcPr>
          <w:p>
            <w:pPr>
              <w:widowControl/>
              <w:spacing w:line="360" w:lineRule="auto"/>
              <w:jc w:val="center"/>
              <w:rPr>
                <w:rFonts w:ascii="宋体" w:hAnsi="宋体" w:cs="宋体"/>
                <w:color w:val="auto"/>
                <w:sz w:val="24"/>
                <w:highlight w:val="none"/>
              </w:rPr>
            </w:pPr>
            <w:r>
              <w:rPr>
                <w:rFonts w:ascii="宋体" w:hAnsi="宋体" w:cs="宋体"/>
                <w:color w:val="auto"/>
                <w:sz w:val="24"/>
                <w:highlight w:val="none"/>
              </w:rPr>
              <w:t>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83" w:type="dxa"/>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1-5</w:t>
            </w:r>
          </w:p>
        </w:tc>
        <w:tc>
          <w:tcPr>
            <w:tcW w:w="8692" w:type="dxa"/>
            <w:tcBorders>
              <w:top w:val="single" w:color="auto" w:sz="6" w:space="0"/>
              <w:left w:val="single" w:color="auto" w:sz="4" w:space="0"/>
              <w:bottom w:val="single" w:color="auto" w:sz="6" w:space="0"/>
              <w:right w:val="single" w:color="auto" w:sz="4" w:space="0"/>
            </w:tcBorders>
          </w:tcPr>
          <w:p>
            <w:pPr>
              <w:widowControl/>
              <w:spacing w:line="360" w:lineRule="auto"/>
              <w:jc w:val="left"/>
              <w:rPr>
                <w:rFonts w:ascii="宋体" w:hAnsi="宋体" w:cs="宋体"/>
                <w:color w:val="auto"/>
                <w:kern w:val="0"/>
                <w:sz w:val="24"/>
                <w:highlight w:val="none"/>
              </w:rPr>
            </w:pPr>
            <w:r>
              <w:rPr>
                <w:rFonts w:hint="eastAsia" w:ascii="宋体" w:hAnsi="宋体"/>
                <w:color w:val="auto"/>
                <w:kern w:val="0"/>
                <w:sz w:val="24"/>
                <w:highlight w:val="none"/>
              </w:rPr>
              <w:t>根据磋商响应供应商提供的方案，设备具备自动分压功能，分压范围：1</w:t>
            </w:r>
            <w:r>
              <w:rPr>
                <w:rFonts w:ascii="宋体" w:hAnsi="宋体"/>
                <w:color w:val="auto"/>
                <w:kern w:val="0"/>
                <w:sz w:val="24"/>
                <w:highlight w:val="none"/>
              </w:rPr>
              <w:t>0</w:t>
            </w:r>
            <w:r>
              <w:rPr>
                <w:rFonts w:hint="eastAsia" w:ascii="宋体" w:hAnsi="宋体"/>
                <w:color w:val="auto"/>
                <w:kern w:val="0"/>
                <w:sz w:val="24"/>
                <w:highlight w:val="none"/>
              </w:rPr>
              <w:t>-</w:t>
            </w:r>
            <w:r>
              <w:rPr>
                <w:rFonts w:ascii="宋体" w:hAnsi="宋体"/>
                <w:color w:val="auto"/>
                <w:kern w:val="0"/>
                <w:sz w:val="24"/>
                <w:highlight w:val="none"/>
              </w:rPr>
              <w:t>1000Pa</w:t>
            </w:r>
            <w:r>
              <w:rPr>
                <w:rFonts w:hint="eastAsia" w:ascii="宋体" w:hAnsi="宋体"/>
                <w:color w:val="auto"/>
                <w:kern w:val="0"/>
                <w:sz w:val="24"/>
                <w:highlight w:val="none"/>
              </w:rPr>
              <w:t>，</w:t>
            </w:r>
            <w:r>
              <w:rPr>
                <w:rFonts w:hint="eastAsia" w:ascii="宋体" w:hAnsi="宋体"/>
                <w:color w:val="auto"/>
                <w:sz w:val="24"/>
                <w:highlight w:val="none"/>
              </w:rPr>
              <w:t>提</w:t>
            </w:r>
            <w:r>
              <w:rPr>
                <w:rFonts w:hint="eastAsia" w:ascii="宋体" w:hAnsi="宋体" w:cs="宋体"/>
                <w:color w:val="auto"/>
                <w:sz w:val="24"/>
                <w:highlight w:val="none"/>
              </w:rPr>
              <w:t>供功能性功能截图说明等证明材料</w:t>
            </w:r>
            <w:r>
              <w:rPr>
                <w:rFonts w:hint="eastAsia" w:ascii="宋体" w:hAnsi="宋体"/>
                <w:color w:val="auto"/>
                <w:kern w:val="0"/>
                <w:sz w:val="24"/>
                <w:highlight w:val="none"/>
              </w:rPr>
              <w:t>得</w:t>
            </w:r>
            <w:r>
              <w:rPr>
                <w:rFonts w:ascii="宋体" w:hAnsi="宋体"/>
                <w:color w:val="auto"/>
                <w:kern w:val="0"/>
                <w:sz w:val="24"/>
                <w:highlight w:val="none"/>
              </w:rPr>
              <w:t>2</w:t>
            </w:r>
            <w:r>
              <w:rPr>
                <w:rFonts w:hint="eastAsia" w:ascii="宋体" w:hAnsi="宋体"/>
                <w:color w:val="auto"/>
                <w:kern w:val="0"/>
                <w:sz w:val="24"/>
                <w:highlight w:val="none"/>
              </w:rPr>
              <w:t>分，不满足为0分。</w:t>
            </w:r>
          </w:p>
        </w:tc>
        <w:tc>
          <w:tcPr>
            <w:tcW w:w="741" w:type="dxa"/>
            <w:tcBorders>
              <w:top w:val="single" w:color="auto" w:sz="6" w:space="0"/>
              <w:left w:val="single" w:color="auto" w:sz="4" w:space="0"/>
              <w:bottom w:val="single" w:color="auto" w:sz="6" w:space="0"/>
              <w:right w:val="single" w:color="auto" w:sz="6" w:space="0"/>
            </w:tcBorders>
            <w:vAlign w:val="center"/>
          </w:tcPr>
          <w:p>
            <w:pPr>
              <w:widowControl/>
              <w:spacing w:line="360" w:lineRule="auto"/>
              <w:jc w:val="center"/>
              <w:rPr>
                <w:rFonts w:ascii="宋体" w:hAnsi="宋体" w:cs="宋体"/>
                <w:color w:val="auto"/>
                <w:sz w:val="24"/>
                <w:highlight w:val="none"/>
              </w:rPr>
            </w:pPr>
            <w:r>
              <w:rPr>
                <w:rFonts w:ascii="宋体" w:hAnsi="宋体" w:cs="宋体"/>
                <w:color w:val="auto"/>
                <w:sz w:val="24"/>
                <w:highlight w:val="none"/>
              </w:rPr>
              <w:t>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83" w:type="dxa"/>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1-6</w:t>
            </w:r>
          </w:p>
        </w:tc>
        <w:tc>
          <w:tcPr>
            <w:tcW w:w="8692" w:type="dxa"/>
            <w:tcBorders>
              <w:top w:val="single" w:color="auto" w:sz="6" w:space="0"/>
              <w:left w:val="single" w:color="auto" w:sz="4" w:space="0"/>
              <w:bottom w:val="single" w:color="auto" w:sz="6" w:space="0"/>
              <w:right w:val="single" w:color="auto" w:sz="4" w:space="0"/>
            </w:tcBorders>
          </w:tcPr>
          <w:p>
            <w:pPr>
              <w:widowControl/>
              <w:spacing w:line="360" w:lineRule="auto"/>
              <w:jc w:val="left"/>
              <w:rPr>
                <w:rFonts w:ascii="宋体" w:hAnsi="宋体" w:cs="宋体"/>
                <w:color w:val="auto"/>
                <w:kern w:val="0"/>
                <w:sz w:val="24"/>
                <w:highlight w:val="none"/>
              </w:rPr>
            </w:pPr>
            <w:r>
              <w:rPr>
                <w:rFonts w:hint="eastAsia" w:ascii="宋体" w:hAnsi="宋体"/>
                <w:color w:val="auto"/>
                <w:kern w:val="0"/>
                <w:sz w:val="24"/>
                <w:highlight w:val="none"/>
              </w:rPr>
              <w:t>根据磋商响应供应商提供的方案，设备满足冷态极限真空度≤8×1</w:t>
            </w:r>
            <w:r>
              <w:rPr>
                <w:rFonts w:ascii="宋体" w:hAnsi="宋体"/>
                <w:color w:val="auto"/>
                <w:kern w:val="0"/>
                <w:sz w:val="24"/>
                <w:highlight w:val="none"/>
              </w:rPr>
              <w:t>0</w:t>
            </w:r>
            <w:r>
              <w:rPr>
                <w:rFonts w:hint="eastAsia" w:ascii="宋体" w:hAnsi="宋体"/>
                <w:color w:val="auto"/>
                <w:kern w:val="0"/>
                <w:sz w:val="24"/>
                <w:highlight w:val="none"/>
                <w:vertAlign w:val="superscript"/>
              </w:rPr>
              <w:t>-</w:t>
            </w:r>
            <w:r>
              <w:rPr>
                <w:rFonts w:ascii="宋体" w:hAnsi="宋体"/>
                <w:color w:val="auto"/>
                <w:kern w:val="0"/>
                <w:sz w:val="24"/>
                <w:highlight w:val="none"/>
                <w:vertAlign w:val="superscript"/>
              </w:rPr>
              <w:t>4</w:t>
            </w:r>
            <w:r>
              <w:rPr>
                <w:rFonts w:ascii="宋体" w:hAnsi="宋体"/>
                <w:color w:val="auto"/>
                <w:kern w:val="0"/>
                <w:sz w:val="24"/>
                <w:highlight w:val="none"/>
              </w:rPr>
              <w:t>Pa</w:t>
            </w:r>
            <w:r>
              <w:rPr>
                <w:rFonts w:hint="eastAsia" w:ascii="宋体" w:hAnsi="宋体"/>
                <w:color w:val="auto"/>
                <w:kern w:val="0"/>
                <w:sz w:val="24"/>
                <w:highlight w:val="none"/>
              </w:rPr>
              <w:t>（空载）</w:t>
            </w:r>
            <w:r>
              <w:rPr>
                <w:rFonts w:hint="eastAsia" w:ascii="宋体" w:hAnsi="宋体"/>
                <w:color w:val="auto"/>
                <w:sz w:val="24"/>
                <w:highlight w:val="none"/>
              </w:rPr>
              <w:t>提</w:t>
            </w:r>
            <w:r>
              <w:rPr>
                <w:rFonts w:hint="eastAsia" w:ascii="宋体" w:hAnsi="宋体" w:cs="宋体"/>
                <w:color w:val="auto"/>
                <w:sz w:val="24"/>
                <w:highlight w:val="none"/>
              </w:rPr>
              <w:t>供功能性功能截图说明等证明材料，</w:t>
            </w:r>
            <w:r>
              <w:rPr>
                <w:rFonts w:ascii="宋体" w:hAnsi="宋体"/>
                <w:color w:val="auto"/>
                <w:kern w:val="0"/>
                <w:sz w:val="24"/>
                <w:highlight w:val="none"/>
              </w:rPr>
              <w:t>得</w:t>
            </w:r>
            <w:r>
              <w:rPr>
                <w:rFonts w:hint="eastAsia" w:ascii="宋体" w:hAnsi="宋体"/>
                <w:color w:val="auto"/>
                <w:kern w:val="0"/>
                <w:sz w:val="24"/>
                <w:highlight w:val="none"/>
              </w:rPr>
              <w:t>1分，不满足得0分，热态真空度≤5×1</w:t>
            </w:r>
            <w:r>
              <w:rPr>
                <w:rFonts w:ascii="宋体" w:hAnsi="宋体"/>
                <w:color w:val="auto"/>
                <w:kern w:val="0"/>
                <w:sz w:val="24"/>
                <w:highlight w:val="none"/>
              </w:rPr>
              <w:t>0</w:t>
            </w:r>
            <w:r>
              <w:rPr>
                <w:rFonts w:hint="eastAsia" w:ascii="宋体" w:hAnsi="宋体"/>
                <w:color w:val="auto"/>
                <w:kern w:val="0"/>
                <w:sz w:val="24"/>
                <w:highlight w:val="none"/>
                <w:vertAlign w:val="superscript"/>
              </w:rPr>
              <w:t>-</w:t>
            </w:r>
            <w:r>
              <w:rPr>
                <w:rFonts w:ascii="宋体" w:hAnsi="宋体"/>
                <w:color w:val="auto"/>
                <w:kern w:val="0"/>
                <w:sz w:val="24"/>
                <w:highlight w:val="none"/>
                <w:vertAlign w:val="superscript"/>
              </w:rPr>
              <w:t>3</w:t>
            </w:r>
            <w:r>
              <w:rPr>
                <w:rFonts w:ascii="宋体" w:hAnsi="宋体"/>
                <w:color w:val="auto"/>
                <w:kern w:val="0"/>
                <w:sz w:val="24"/>
                <w:highlight w:val="none"/>
              </w:rPr>
              <w:t>Pa</w:t>
            </w:r>
            <w:r>
              <w:rPr>
                <w:rFonts w:hint="eastAsia" w:ascii="宋体" w:hAnsi="宋体"/>
                <w:color w:val="auto"/>
                <w:kern w:val="0"/>
                <w:sz w:val="24"/>
                <w:highlight w:val="none"/>
              </w:rPr>
              <w:t>（空载），</w:t>
            </w:r>
            <w:r>
              <w:rPr>
                <w:rFonts w:hint="eastAsia" w:ascii="宋体" w:hAnsi="宋体"/>
                <w:color w:val="auto"/>
                <w:sz w:val="24"/>
                <w:highlight w:val="none"/>
              </w:rPr>
              <w:t>提</w:t>
            </w:r>
            <w:r>
              <w:rPr>
                <w:rFonts w:hint="eastAsia" w:ascii="宋体" w:hAnsi="宋体" w:cs="宋体"/>
                <w:color w:val="auto"/>
                <w:sz w:val="24"/>
                <w:highlight w:val="none"/>
              </w:rPr>
              <w:t>供功能性功能截图说明等证明材料</w:t>
            </w:r>
            <w:r>
              <w:rPr>
                <w:rFonts w:ascii="宋体" w:hAnsi="宋体"/>
                <w:color w:val="auto"/>
                <w:kern w:val="0"/>
                <w:sz w:val="24"/>
                <w:highlight w:val="none"/>
              </w:rPr>
              <w:t>得</w:t>
            </w:r>
            <w:r>
              <w:rPr>
                <w:rFonts w:hint="eastAsia" w:ascii="宋体" w:hAnsi="宋体"/>
                <w:color w:val="auto"/>
                <w:kern w:val="0"/>
                <w:sz w:val="24"/>
                <w:highlight w:val="none"/>
              </w:rPr>
              <w:t>1分，不满足得0分。</w:t>
            </w:r>
          </w:p>
        </w:tc>
        <w:tc>
          <w:tcPr>
            <w:tcW w:w="741" w:type="dxa"/>
            <w:tcBorders>
              <w:top w:val="single" w:color="auto" w:sz="6" w:space="0"/>
              <w:left w:val="single" w:color="auto" w:sz="4" w:space="0"/>
              <w:bottom w:val="single" w:color="auto" w:sz="6" w:space="0"/>
              <w:right w:val="single" w:color="auto" w:sz="6" w:space="0"/>
            </w:tcBorders>
            <w:vAlign w:val="center"/>
          </w:tcPr>
          <w:p>
            <w:pPr>
              <w:widowControl/>
              <w:spacing w:line="360" w:lineRule="auto"/>
              <w:jc w:val="center"/>
              <w:rPr>
                <w:rFonts w:ascii="宋体" w:hAnsi="宋体" w:cs="宋体"/>
                <w:color w:val="auto"/>
                <w:sz w:val="24"/>
                <w:highlight w:val="none"/>
              </w:rPr>
            </w:pPr>
            <w:r>
              <w:rPr>
                <w:rFonts w:ascii="宋体" w:hAnsi="宋体" w:cs="宋体"/>
                <w:color w:val="auto"/>
                <w:sz w:val="24"/>
                <w:highlight w:val="none"/>
              </w:rPr>
              <w:t>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83" w:type="dxa"/>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1-7</w:t>
            </w:r>
          </w:p>
        </w:tc>
        <w:tc>
          <w:tcPr>
            <w:tcW w:w="8692" w:type="dxa"/>
            <w:tcBorders>
              <w:top w:val="single" w:color="auto" w:sz="6" w:space="0"/>
              <w:left w:val="single" w:color="auto" w:sz="4" w:space="0"/>
              <w:bottom w:val="single" w:color="auto" w:sz="6" w:space="0"/>
              <w:right w:val="single" w:color="auto" w:sz="4" w:space="0"/>
            </w:tcBorders>
          </w:tcPr>
          <w:p>
            <w:pPr>
              <w:widowControl/>
              <w:spacing w:line="360" w:lineRule="auto"/>
              <w:jc w:val="left"/>
              <w:rPr>
                <w:rFonts w:ascii="宋体" w:hAnsi="宋体" w:cs="宋体"/>
                <w:color w:val="auto"/>
                <w:kern w:val="0"/>
                <w:sz w:val="24"/>
                <w:highlight w:val="none"/>
              </w:rPr>
            </w:pPr>
            <w:r>
              <w:rPr>
                <w:rFonts w:hint="eastAsia" w:ascii="宋体" w:hAnsi="宋体"/>
                <w:color w:val="auto"/>
                <w:kern w:val="0"/>
                <w:sz w:val="24"/>
                <w:highlight w:val="none"/>
              </w:rPr>
              <w:t>根据磋商响应供应商提供的方案，设备满足从大气抽至5×1</w:t>
            </w:r>
            <w:r>
              <w:rPr>
                <w:rFonts w:ascii="宋体" w:hAnsi="宋体"/>
                <w:color w:val="auto"/>
                <w:kern w:val="0"/>
                <w:sz w:val="24"/>
                <w:highlight w:val="none"/>
              </w:rPr>
              <w:t>0</w:t>
            </w:r>
            <w:r>
              <w:rPr>
                <w:rFonts w:hint="eastAsia" w:ascii="宋体" w:hAnsi="宋体"/>
                <w:color w:val="auto"/>
                <w:kern w:val="0"/>
                <w:sz w:val="24"/>
                <w:highlight w:val="none"/>
                <w:vertAlign w:val="superscript"/>
              </w:rPr>
              <w:t>-</w:t>
            </w:r>
            <w:r>
              <w:rPr>
                <w:rFonts w:ascii="宋体" w:hAnsi="宋体"/>
                <w:color w:val="auto"/>
                <w:kern w:val="0"/>
                <w:sz w:val="24"/>
                <w:highlight w:val="none"/>
                <w:vertAlign w:val="superscript"/>
              </w:rPr>
              <w:t>3</w:t>
            </w:r>
            <w:r>
              <w:rPr>
                <w:rFonts w:ascii="宋体" w:hAnsi="宋体"/>
                <w:color w:val="auto"/>
                <w:kern w:val="0"/>
                <w:sz w:val="24"/>
                <w:highlight w:val="none"/>
              </w:rPr>
              <w:t>Pa耗时≤30min</w:t>
            </w:r>
            <w:r>
              <w:rPr>
                <w:rFonts w:hint="eastAsia" w:ascii="宋体" w:hAnsi="宋体"/>
                <w:color w:val="auto"/>
                <w:kern w:val="0"/>
                <w:sz w:val="24"/>
                <w:highlight w:val="none"/>
              </w:rPr>
              <w:t>（冷态，空载，扩散泵预热时间不计），</w:t>
            </w:r>
            <w:r>
              <w:rPr>
                <w:rFonts w:hint="eastAsia" w:ascii="宋体" w:hAnsi="宋体"/>
                <w:color w:val="auto"/>
                <w:sz w:val="24"/>
                <w:highlight w:val="none"/>
              </w:rPr>
              <w:t>提</w:t>
            </w:r>
            <w:r>
              <w:rPr>
                <w:rFonts w:hint="eastAsia" w:ascii="宋体" w:hAnsi="宋体" w:cs="宋体"/>
                <w:color w:val="auto"/>
                <w:sz w:val="24"/>
                <w:highlight w:val="none"/>
              </w:rPr>
              <w:t>供证明材料</w:t>
            </w:r>
            <w:r>
              <w:rPr>
                <w:rFonts w:hint="eastAsia" w:ascii="宋体" w:hAnsi="宋体"/>
                <w:color w:val="auto"/>
                <w:kern w:val="0"/>
                <w:sz w:val="24"/>
                <w:highlight w:val="none"/>
              </w:rPr>
              <w:t>得2分，不满足为0分</w:t>
            </w:r>
          </w:p>
        </w:tc>
        <w:tc>
          <w:tcPr>
            <w:tcW w:w="741" w:type="dxa"/>
            <w:tcBorders>
              <w:top w:val="single" w:color="auto" w:sz="6" w:space="0"/>
              <w:left w:val="single" w:color="auto" w:sz="4" w:space="0"/>
              <w:bottom w:val="single" w:color="auto" w:sz="6" w:space="0"/>
              <w:right w:val="single" w:color="auto" w:sz="6" w:space="0"/>
            </w:tcBorders>
            <w:vAlign w:val="center"/>
          </w:tcPr>
          <w:p>
            <w:pPr>
              <w:widowControl/>
              <w:spacing w:line="360" w:lineRule="auto"/>
              <w:jc w:val="center"/>
              <w:rPr>
                <w:rFonts w:ascii="宋体" w:hAnsi="宋体" w:cs="宋体"/>
                <w:color w:val="auto"/>
                <w:sz w:val="24"/>
                <w:highlight w:val="none"/>
              </w:rPr>
            </w:pPr>
            <w:r>
              <w:rPr>
                <w:rFonts w:ascii="宋体" w:hAnsi="宋体" w:cs="宋体"/>
                <w:color w:val="auto"/>
                <w:kern w:val="0"/>
                <w:sz w:val="24"/>
                <w:highlight w:val="none"/>
              </w:rPr>
              <w:t>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83" w:type="dxa"/>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1-8</w:t>
            </w:r>
          </w:p>
        </w:tc>
        <w:tc>
          <w:tcPr>
            <w:tcW w:w="8692" w:type="dxa"/>
            <w:tcBorders>
              <w:top w:val="single" w:color="auto" w:sz="6" w:space="0"/>
              <w:left w:val="single" w:color="auto" w:sz="4" w:space="0"/>
              <w:bottom w:val="single" w:color="auto" w:sz="6" w:space="0"/>
              <w:right w:val="single" w:color="auto" w:sz="4" w:space="0"/>
            </w:tcBorders>
          </w:tcPr>
          <w:p>
            <w:pPr>
              <w:widowControl/>
              <w:spacing w:line="360" w:lineRule="auto"/>
              <w:jc w:val="left"/>
              <w:rPr>
                <w:rFonts w:ascii="宋体" w:hAnsi="宋体" w:cs="宋体"/>
                <w:color w:val="auto"/>
                <w:kern w:val="0"/>
                <w:sz w:val="24"/>
                <w:highlight w:val="none"/>
              </w:rPr>
            </w:pPr>
            <w:r>
              <w:rPr>
                <w:rFonts w:hint="eastAsia" w:ascii="宋体" w:hAnsi="宋体"/>
                <w:color w:val="auto"/>
                <w:kern w:val="0"/>
                <w:sz w:val="24"/>
                <w:highlight w:val="none"/>
              </w:rPr>
              <w:t>根据磋商响应供应商提供的方案，设备具备快冷系统</w:t>
            </w:r>
            <w:r>
              <w:rPr>
                <w:rFonts w:hint="eastAsia" w:ascii="宋体" w:hAnsi="宋体"/>
                <w:color w:val="auto"/>
                <w:sz w:val="24"/>
                <w:highlight w:val="none"/>
              </w:rPr>
              <w:t>提</w:t>
            </w:r>
            <w:r>
              <w:rPr>
                <w:rFonts w:hint="eastAsia" w:ascii="宋体" w:hAnsi="宋体" w:cs="宋体"/>
                <w:color w:val="auto"/>
                <w:sz w:val="24"/>
                <w:highlight w:val="none"/>
              </w:rPr>
              <w:t>供证明材料</w:t>
            </w:r>
            <w:r>
              <w:rPr>
                <w:rFonts w:hint="eastAsia" w:ascii="宋体" w:hAnsi="宋体"/>
                <w:color w:val="auto"/>
                <w:kern w:val="0"/>
                <w:sz w:val="24"/>
                <w:highlight w:val="none"/>
              </w:rPr>
              <w:t>得1分，不满足为0分，且满足从4</w:t>
            </w:r>
            <w:r>
              <w:rPr>
                <w:rFonts w:ascii="宋体" w:hAnsi="宋体"/>
                <w:color w:val="auto"/>
                <w:kern w:val="0"/>
                <w:sz w:val="24"/>
                <w:highlight w:val="none"/>
              </w:rPr>
              <w:t>00℃降至</w:t>
            </w:r>
            <w:r>
              <w:rPr>
                <w:rFonts w:hint="eastAsia" w:ascii="宋体" w:hAnsi="宋体"/>
                <w:color w:val="auto"/>
                <w:kern w:val="0"/>
                <w:sz w:val="24"/>
                <w:highlight w:val="none"/>
              </w:rPr>
              <w:t>6</w:t>
            </w:r>
            <w:r>
              <w:rPr>
                <w:rFonts w:ascii="宋体" w:hAnsi="宋体"/>
                <w:color w:val="auto"/>
                <w:kern w:val="0"/>
                <w:sz w:val="24"/>
                <w:highlight w:val="none"/>
              </w:rPr>
              <w:t>0℃耗时≤60min</w:t>
            </w:r>
            <w:r>
              <w:rPr>
                <w:rFonts w:hint="eastAsia" w:ascii="宋体" w:hAnsi="宋体"/>
                <w:color w:val="auto"/>
                <w:kern w:val="0"/>
                <w:sz w:val="24"/>
                <w:highlight w:val="none"/>
              </w:rPr>
              <w:t>，</w:t>
            </w:r>
            <w:r>
              <w:rPr>
                <w:rFonts w:hint="eastAsia" w:ascii="宋体" w:hAnsi="宋体"/>
                <w:color w:val="auto"/>
                <w:sz w:val="24"/>
                <w:highlight w:val="none"/>
              </w:rPr>
              <w:t>提</w:t>
            </w:r>
            <w:r>
              <w:rPr>
                <w:rFonts w:hint="eastAsia" w:ascii="宋体" w:hAnsi="宋体" w:cs="宋体"/>
                <w:color w:val="auto"/>
                <w:sz w:val="24"/>
                <w:highlight w:val="none"/>
              </w:rPr>
              <w:t>供证明材料</w:t>
            </w:r>
            <w:r>
              <w:rPr>
                <w:rFonts w:ascii="宋体" w:hAnsi="宋体"/>
                <w:color w:val="auto"/>
                <w:kern w:val="0"/>
                <w:sz w:val="24"/>
                <w:highlight w:val="none"/>
              </w:rPr>
              <w:t>得</w:t>
            </w:r>
            <w:r>
              <w:rPr>
                <w:rFonts w:hint="eastAsia" w:ascii="宋体" w:hAnsi="宋体"/>
                <w:color w:val="auto"/>
                <w:kern w:val="0"/>
                <w:sz w:val="24"/>
                <w:highlight w:val="none"/>
              </w:rPr>
              <w:t>3分，不满足得0分。</w:t>
            </w:r>
          </w:p>
        </w:tc>
        <w:tc>
          <w:tcPr>
            <w:tcW w:w="741" w:type="dxa"/>
            <w:tcBorders>
              <w:top w:val="single" w:color="auto" w:sz="6" w:space="0"/>
              <w:left w:val="single" w:color="auto" w:sz="4" w:space="0"/>
              <w:bottom w:val="single" w:color="auto" w:sz="6" w:space="0"/>
              <w:right w:val="single" w:color="auto" w:sz="6" w:space="0"/>
            </w:tcBorders>
            <w:vAlign w:val="center"/>
          </w:tcPr>
          <w:p>
            <w:pPr>
              <w:widowControl/>
              <w:spacing w:line="360" w:lineRule="auto"/>
              <w:jc w:val="center"/>
              <w:rPr>
                <w:rFonts w:ascii="宋体" w:hAnsi="宋体" w:cs="宋体"/>
                <w:color w:val="auto"/>
                <w:sz w:val="24"/>
                <w:highlight w:val="none"/>
              </w:rPr>
            </w:pPr>
            <w:r>
              <w:rPr>
                <w:rFonts w:ascii="宋体" w:hAnsi="宋体" w:cs="宋体"/>
                <w:color w:val="auto"/>
                <w:sz w:val="24"/>
                <w:highlight w:val="none"/>
              </w:rPr>
              <w:t>4</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83" w:type="dxa"/>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1-9</w:t>
            </w:r>
          </w:p>
        </w:tc>
        <w:tc>
          <w:tcPr>
            <w:tcW w:w="8692" w:type="dxa"/>
            <w:tcBorders>
              <w:top w:val="single" w:color="auto" w:sz="6" w:space="0"/>
              <w:left w:val="single" w:color="auto" w:sz="4" w:space="0"/>
              <w:bottom w:val="single" w:color="auto" w:sz="6" w:space="0"/>
              <w:right w:val="single" w:color="auto" w:sz="4" w:space="0"/>
            </w:tcBorders>
          </w:tcPr>
          <w:p>
            <w:pPr>
              <w:widowControl/>
              <w:spacing w:line="360" w:lineRule="auto"/>
              <w:jc w:val="left"/>
              <w:rPr>
                <w:rFonts w:ascii="宋体" w:hAnsi="宋体" w:cs="宋体"/>
                <w:color w:val="auto"/>
                <w:kern w:val="0"/>
                <w:sz w:val="24"/>
                <w:highlight w:val="none"/>
              </w:rPr>
            </w:pPr>
            <w:r>
              <w:rPr>
                <w:rFonts w:hint="eastAsia" w:ascii="宋体" w:hAnsi="宋体"/>
                <w:color w:val="auto"/>
                <w:kern w:val="0"/>
                <w:sz w:val="24"/>
                <w:highlight w:val="none"/>
              </w:rPr>
              <w:t>根据磋商响应供应商提供的方案，设备炉体部分满足内壁不锈钢，</w:t>
            </w:r>
            <w:r>
              <w:rPr>
                <w:rFonts w:hint="eastAsia" w:ascii="宋体" w:hAnsi="宋体"/>
                <w:color w:val="auto"/>
                <w:sz w:val="24"/>
                <w:highlight w:val="none"/>
              </w:rPr>
              <w:t>提</w:t>
            </w:r>
            <w:r>
              <w:rPr>
                <w:rFonts w:hint="eastAsia" w:ascii="宋体" w:hAnsi="宋体" w:cs="宋体"/>
                <w:color w:val="auto"/>
                <w:sz w:val="24"/>
                <w:highlight w:val="none"/>
              </w:rPr>
              <w:t>供功能性功能截图说明等证明材料</w:t>
            </w:r>
            <w:r>
              <w:rPr>
                <w:rFonts w:hint="eastAsia" w:ascii="宋体" w:hAnsi="宋体"/>
                <w:color w:val="auto"/>
                <w:kern w:val="0"/>
                <w:sz w:val="24"/>
                <w:highlight w:val="none"/>
              </w:rPr>
              <w:t>得1分，不满足为0分。</w:t>
            </w:r>
          </w:p>
        </w:tc>
        <w:tc>
          <w:tcPr>
            <w:tcW w:w="741" w:type="dxa"/>
            <w:tcBorders>
              <w:top w:val="single" w:color="auto" w:sz="6" w:space="0"/>
              <w:left w:val="single" w:color="auto" w:sz="4" w:space="0"/>
              <w:bottom w:val="single" w:color="auto" w:sz="6" w:space="0"/>
              <w:right w:val="single" w:color="auto" w:sz="6" w:space="0"/>
            </w:tcBorders>
            <w:vAlign w:val="center"/>
          </w:tcPr>
          <w:p>
            <w:pPr>
              <w:widowControl/>
              <w:spacing w:line="360" w:lineRule="auto"/>
              <w:jc w:val="center"/>
              <w:rPr>
                <w:rFonts w:ascii="宋体" w:hAnsi="宋体" w:cs="宋体"/>
                <w:color w:val="auto"/>
                <w:sz w:val="24"/>
                <w:highlight w:val="none"/>
              </w:rPr>
            </w:pPr>
            <w:r>
              <w:rPr>
                <w:rFonts w:ascii="宋体" w:hAnsi="宋体" w:cs="宋体"/>
                <w:color w:val="auto"/>
                <w:kern w:val="0"/>
                <w:sz w:val="24"/>
                <w:highlight w:val="none"/>
              </w:rPr>
              <w:t>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83" w:type="dxa"/>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10</w:t>
            </w:r>
          </w:p>
        </w:tc>
        <w:tc>
          <w:tcPr>
            <w:tcW w:w="8692" w:type="dxa"/>
            <w:tcBorders>
              <w:top w:val="single" w:color="auto" w:sz="6" w:space="0"/>
              <w:left w:val="single" w:color="auto" w:sz="4" w:space="0"/>
              <w:bottom w:val="single" w:color="auto" w:sz="6" w:space="0"/>
              <w:right w:val="single" w:color="auto" w:sz="4" w:space="0"/>
            </w:tcBorders>
          </w:tcPr>
          <w:p>
            <w:pPr>
              <w:widowControl/>
              <w:spacing w:line="360" w:lineRule="auto"/>
              <w:jc w:val="left"/>
              <w:rPr>
                <w:rFonts w:ascii="宋体" w:hAnsi="宋体" w:cs="宋体"/>
                <w:color w:val="auto"/>
                <w:kern w:val="0"/>
                <w:sz w:val="24"/>
                <w:highlight w:val="none"/>
              </w:rPr>
            </w:pPr>
            <w:r>
              <w:rPr>
                <w:rFonts w:hint="eastAsia" w:ascii="宋体" w:hAnsi="宋体"/>
                <w:color w:val="auto"/>
                <w:kern w:val="0"/>
                <w:sz w:val="24"/>
                <w:highlight w:val="none"/>
              </w:rPr>
              <w:t>根据磋商响应供应商提供的方案，设备满足压升率≤0</w:t>
            </w:r>
            <w:r>
              <w:rPr>
                <w:rFonts w:ascii="宋体" w:hAnsi="宋体"/>
                <w:color w:val="auto"/>
                <w:kern w:val="0"/>
                <w:sz w:val="24"/>
                <w:highlight w:val="none"/>
              </w:rPr>
              <w:t>.067Pa/h</w:t>
            </w:r>
            <w:r>
              <w:rPr>
                <w:rFonts w:hint="eastAsia" w:ascii="宋体" w:hAnsi="宋体"/>
                <w:color w:val="auto"/>
                <w:kern w:val="0"/>
                <w:sz w:val="24"/>
                <w:highlight w:val="none"/>
              </w:rPr>
              <w:t>（空载），</w:t>
            </w:r>
            <w:r>
              <w:rPr>
                <w:rFonts w:hint="eastAsia" w:ascii="宋体" w:hAnsi="宋体"/>
                <w:color w:val="auto"/>
                <w:sz w:val="24"/>
                <w:highlight w:val="none"/>
              </w:rPr>
              <w:t>提</w:t>
            </w:r>
            <w:r>
              <w:rPr>
                <w:rFonts w:hint="eastAsia" w:ascii="宋体" w:hAnsi="宋体" w:cs="宋体"/>
                <w:color w:val="auto"/>
                <w:sz w:val="24"/>
                <w:highlight w:val="none"/>
              </w:rPr>
              <w:t>供功能性功能截图说明等证明材料</w:t>
            </w:r>
            <w:r>
              <w:rPr>
                <w:rFonts w:ascii="宋体" w:hAnsi="宋体"/>
                <w:color w:val="auto"/>
                <w:kern w:val="0"/>
                <w:sz w:val="24"/>
                <w:highlight w:val="none"/>
              </w:rPr>
              <w:t>得5</w:t>
            </w:r>
            <w:r>
              <w:rPr>
                <w:rFonts w:hint="eastAsia" w:ascii="宋体" w:hAnsi="宋体"/>
                <w:color w:val="auto"/>
                <w:kern w:val="0"/>
                <w:sz w:val="24"/>
                <w:highlight w:val="none"/>
              </w:rPr>
              <w:t>分，不满足为0分。</w:t>
            </w:r>
          </w:p>
        </w:tc>
        <w:tc>
          <w:tcPr>
            <w:tcW w:w="741" w:type="dxa"/>
            <w:tcBorders>
              <w:top w:val="single" w:color="auto" w:sz="6" w:space="0"/>
              <w:left w:val="single" w:color="auto" w:sz="4" w:space="0"/>
              <w:bottom w:val="single" w:color="auto" w:sz="6" w:space="0"/>
              <w:right w:val="single" w:color="auto" w:sz="6" w:space="0"/>
            </w:tcBorders>
            <w:vAlign w:val="center"/>
          </w:tcPr>
          <w:p>
            <w:pPr>
              <w:widowControl/>
              <w:spacing w:line="360" w:lineRule="auto"/>
              <w:jc w:val="center"/>
              <w:rPr>
                <w:rFonts w:ascii="宋体" w:hAnsi="宋体" w:cs="宋体"/>
                <w:color w:val="auto"/>
                <w:sz w:val="24"/>
                <w:highlight w:val="none"/>
              </w:rPr>
            </w:pPr>
            <w:r>
              <w:rPr>
                <w:rFonts w:ascii="宋体" w:hAnsi="宋体" w:cs="宋体"/>
                <w:color w:val="auto"/>
                <w:kern w:val="0"/>
                <w:sz w:val="24"/>
                <w:highlight w:val="none"/>
              </w:rPr>
              <w:t>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83" w:type="dxa"/>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w:t>
            </w:r>
          </w:p>
        </w:tc>
        <w:tc>
          <w:tcPr>
            <w:tcW w:w="8692" w:type="dxa"/>
            <w:tcBorders>
              <w:top w:val="single" w:color="auto" w:sz="6" w:space="0"/>
              <w:left w:val="single" w:color="auto" w:sz="4" w:space="0"/>
              <w:bottom w:val="single" w:color="auto" w:sz="6" w:space="0"/>
              <w:right w:val="single" w:color="auto" w:sz="4" w:space="0"/>
            </w:tcBorders>
          </w:tcPr>
          <w:p>
            <w:pPr>
              <w:widowControl/>
              <w:spacing w:line="360" w:lineRule="auto"/>
              <w:jc w:val="left"/>
              <w:rPr>
                <w:rFonts w:ascii="宋体" w:hAnsi="宋体" w:cs="宋体"/>
                <w:color w:val="auto"/>
                <w:kern w:val="0"/>
                <w:sz w:val="24"/>
                <w:highlight w:val="none"/>
              </w:rPr>
            </w:pPr>
            <w:r>
              <w:rPr>
                <w:rFonts w:hint="eastAsia" w:ascii="宋体" w:hAnsi="宋体"/>
                <w:color w:val="auto"/>
                <w:kern w:val="0"/>
                <w:sz w:val="24"/>
                <w:highlight w:val="none"/>
              </w:rPr>
              <w:t>根据磋商响应供应商提供的方案，设备满足6层金属隔热屏（3层钼+</w:t>
            </w:r>
            <w:r>
              <w:rPr>
                <w:rFonts w:ascii="宋体" w:hAnsi="宋体"/>
                <w:color w:val="auto"/>
                <w:kern w:val="0"/>
                <w:sz w:val="24"/>
                <w:highlight w:val="none"/>
              </w:rPr>
              <w:t>3层不锈钢</w:t>
            </w:r>
            <w:r>
              <w:rPr>
                <w:rFonts w:hint="eastAsia" w:ascii="宋体" w:hAnsi="宋体"/>
                <w:color w:val="auto"/>
                <w:kern w:val="0"/>
                <w:sz w:val="24"/>
                <w:highlight w:val="none"/>
              </w:rPr>
              <w:t>），</w:t>
            </w:r>
            <w:r>
              <w:rPr>
                <w:rFonts w:hint="eastAsia" w:ascii="宋体" w:hAnsi="宋体"/>
                <w:color w:val="auto"/>
                <w:sz w:val="24"/>
                <w:highlight w:val="none"/>
              </w:rPr>
              <w:t>提</w:t>
            </w:r>
            <w:r>
              <w:rPr>
                <w:rFonts w:hint="eastAsia" w:ascii="宋体" w:hAnsi="宋体" w:cs="宋体"/>
                <w:color w:val="auto"/>
                <w:sz w:val="24"/>
                <w:highlight w:val="none"/>
              </w:rPr>
              <w:t>供功能性功能截图说明等证明材料</w:t>
            </w:r>
            <w:r>
              <w:rPr>
                <w:rFonts w:hint="eastAsia" w:ascii="宋体" w:hAnsi="宋体"/>
                <w:color w:val="auto"/>
                <w:kern w:val="0"/>
                <w:sz w:val="24"/>
                <w:highlight w:val="none"/>
              </w:rPr>
              <w:t>得1分，不满足为0分。</w:t>
            </w:r>
          </w:p>
        </w:tc>
        <w:tc>
          <w:tcPr>
            <w:tcW w:w="741" w:type="dxa"/>
            <w:tcBorders>
              <w:top w:val="single" w:color="auto" w:sz="6" w:space="0"/>
              <w:left w:val="single" w:color="auto" w:sz="4" w:space="0"/>
              <w:bottom w:val="single" w:color="auto" w:sz="6" w:space="0"/>
              <w:right w:val="single" w:color="auto" w:sz="6" w:space="0"/>
            </w:tcBorders>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1</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83" w:type="dxa"/>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r>
              <w:rPr>
                <w:rFonts w:ascii="宋体" w:hAnsi="宋体" w:cs="宋体"/>
                <w:color w:val="auto"/>
                <w:sz w:val="24"/>
                <w:highlight w:val="none"/>
              </w:rPr>
              <w:t>2</w:t>
            </w:r>
          </w:p>
        </w:tc>
        <w:tc>
          <w:tcPr>
            <w:tcW w:w="8692" w:type="dxa"/>
            <w:tcBorders>
              <w:top w:val="single" w:color="auto" w:sz="6" w:space="0"/>
              <w:left w:val="single" w:color="auto" w:sz="4" w:space="0"/>
              <w:bottom w:val="single" w:color="auto" w:sz="6" w:space="0"/>
              <w:right w:val="single" w:color="auto" w:sz="4" w:space="0"/>
            </w:tcBorders>
          </w:tcPr>
          <w:p>
            <w:pPr>
              <w:widowControl/>
              <w:spacing w:line="360" w:lineRule="auto"/>
              <w:jc w:val="left"/>
              <w:rPr>
                <w:rFonts w:ascii="宋体" w:hAnsi="宋体" w:cs="宋体"/>
                <w:color w:val="auto"/>
                <w:kern w:val="0"/>
                <w:sz w:val="24"/>
                <w:highlight w:val="none"/>
              </w:rPr>
            </w:pPr>
            <w:r>
              <w:rPr>
                <w:rFonts w:hint="eastAsia" w:ascii="宋体" w:hAnsi="宋体"/>
                <w:color w:val="auto"/>
                <w:kern w:val="0"/>
                <w:sz w:val="24"/>
                <w:highlight w:val="none"/>
              </w:rPr>
              <w:t>根据磋商响应供应商提供的方案，控制系统需要具有以下特征：使用流畅、操作简单。</w:t>
            </w:r>
            <w:r>
              <w:rPr>
                <w:rFonts w:hint="eastAsia" w:ascii="宋体" w:hAnsi="宋体"/>
                <w:color w:val="auto"/>
                <w:sz w:val="24"/>
                <w:highlight w:val="none"/>
              </w:rPr>
              <w:t>提</w:t>
            </w:r>
            <w:r>
              <w:rPr>
                <w:rFonts w:hint="eastAsia" w:ascii="宋体" w:hAnsi="宋体" w:cs="宋体"/>
                <w:color w:val="auto"/>
                <w:sz w:val="24"/>
                <w:highlight w:val="none"/>
              </w:rPr>
              <w:t>供证明材料，</w:t>
            </w:r>
            <w:r>
              <w:rPr>
                <w:rFonts w:hint="eastAsia" w:ascii="宋体" w:hAnsi="宋体"/>
                <w:color w:val="auto"/>
                <w:kern w:val="0"/>
                <w:sz w:val="24"/>
                <w:highlight w:val="none"/>
              </w:rPr>
              <w:t>此项根据专家经验和意见打分，满分</w:t>
            </w:r>
            <w:r>
              <w:rPr>
                <w:rFonts w:ascii="宋体" w:hAnsi="宋体"/>
                <w:color w:val="auto"/>
                <w:kern w:val="0"/>
                <w:sz w:val="24"/>
                <w:highlight w:val="none"/>
              </w:rPr>
              <w:t>5</w:t>
            </w:r>
            <w:r>
              <w:rPr>
                <w:rFonts w:hint="eastAsia" w:ascii="宋体" w:hAnsi="宋体"/>
                <w:color w:val="auto"/>
                <w:kern w:val="0"/>
                <w:sz w:val="24"/>
                <w:highlight w:val="none"/>
              </w:rPr>
              <w:t>分。</w:t>
            </w:r>
          </w:p>
        </w:tc>
        <w:tc>
          <w:tcPr>
            <w:tcW w:w="741" w:type="dxa"/>
            <w:tcBorders>
              <w:top w:val="single" w:color="auto" w:sz="6" w:space="0"/>
              <w:left w:val="single" w:color="auto" w:sz="4" w:space="0"/>
              <w:bottom w:val="single" w:color="auto" w:sz="6" w:space="0"/>
              <w:right w:val="single" w:color="auto" w:sz="6" w:space="0"/>
            </w:tcBorders>
            <w:vAlign w:val="center"/>
          </w:tcPr>
          <w:p>
            <w:pPr>
              <w:widowControl/>
              <w:spacing w:line="360" w:lineRule="auto"/>
              <w:jc w:val="center"/>
              <w:rPr>
                <w:rFonts w:ascii="宋体" w:hAnsi="宋体" w:cs="宋体"/>
                <w:color w:val="auto"/>
                <w:sz w:val="24"/>
                <w:highlight w:val="none"/>
              </w:rPr>
            </w:pPr>
            <w:r>
              <w:rPr>
                <w:rFonts w:ascii="宋体" w:hAnsi="宋体" w:cs="宋体"/>
                <w:color w:val="auto"/>
                <w:kern w:val="0"/>
                <w:sz w:val="24"/>
                <w:highlight w:val="none"/>
              </w:rPr>
              <w:t>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83" w:type="dxa"/>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r>
              <w:rPr>
                <w:rFonts w:ascii="宋体" w:hAnsi="宋体" w:cs="宋体"/>
                <w:color w:val="auto"/>
                <w:sz w:val="24"/>
                <w:highlight w:val="none"/>
              </w:rPr>
              <w:t>3</w:t>
            </w:r>
          </w:p>
        </w:tc>
        <w:tc>
          <w:tcPr>
            <w:tcW w:w="8692" w:type="dxa"/>
            <w:tcBorders>
              <w:top w:val="single" w:color="auto" w:sz="6" w:space="0"/>
              <w:left w:val="single" w:color="auto" w:sz="4" w:space="0"/>
              <w:bottom w:val="single" w:color="auto" w:sz="6" w:space="0"/>
              <w:right w:val="single" w:color="auto" w:sz="4" w:space="0"/>
            </w:tcBorders>
          </w:tcPr>
          <w:p>
            <w:pPr>
              <w:widowControl/>
              <w:spacing w:line="360" w:lineRule="auto"/>
              <w:jc w:val="left"/>
              <w:rPr>
                <w:rFonts w:ascii="宋体" w:hAnsi="宋体" w:cs="宋体"/>
                <w:color w:val="auto"/>
                <w:kern w:val="0"/>
                <w:sz w:val="24"/>
                <w:highlight w:val="none"/>
              </w:rPr>
            </w:pPr>
            <w:r>
              <w:rPr>
                <w:rFonts w:hint="eastAsia" w:ascii="宋体" w:hAnsi="宋体"/>
                <w:color w:val="auto"/>
                <w:kern w:val="0"/>
                <w:sz w:val="24"/>
                <w:highlight w:val="none"/>
              </w:rPr>
              <w:t>根据磋商响应供应商提供的方案，组态软件需要具有以下特征：使用流畅、操作简单、一体化设置。</w:t>
            </w:r>
            <w:r>
              <w:rPr>
                <w:rFonts w:hint="eastAsia" w:ascii="宋体" w:hAnsi="宋体"/>
                <w:color w:val="auto"/>
                <w:sz w:val="24"/>
                <w:highlight w:val="none"/>
              </w:rPr>
              <w:t>提</w:t>
            </w:r>
            <w:r>
              <w:rPr>
                <w:rFonts w:hint="eastAsia" w:ascii="宋体" w:hAnsi="宋体" w:cs="宋体"/>
                <w:color w:val="auto"/>
                <w:sz w:val="24"/>
                <w:highlight w:val="none"/>
              </w:rPr>
              <w:t>供证明材料，</w:t>
            </w:r>
            <w:r>
              <w:rPr>
                <w:rFonts w:hint="eastAsia" w:ascii="宋体" w:hAnsi="宋体"/>
                <w:color w:val="auto"/>
                <w:kern w:val="0"/>
                <w:sz w:val="24"/>
                <w:highlight w:val="none"/>
              </w:rPr>
              <w:t>此项根据专家经验和意见打分，满分</w:t>
            </w:r>
            <w:r>
              <w:rPr>
                <w:rFonts w:ascii="宋体" w:hAnsi="宋体"/>
                <w:color w:val="auto"/>
                <w:kern w:val="0"/>
                <w:sz w:val="24"/>
                <w:highlight w:val="none"/>
              </w:rPr>
              <w:t>5</w:t>
            </w:r>
            <w:r>
              <w:rPr>
                <w:rFonts w:hint="eastAsia" w:ascii="宋体" w:hAnsi="宋体"/>
                <w:color w:val="auto"/>
                <w:kern w:val="0"/>
                <w:sz w:val="24"/>
                <w:highlight w:val="none"/>
              </w:rPr>
              <w:t>分。</w:t>
            </w:r>
          </w:p>
        </w:tc>
        <w:tc>
          <w:tcPr>
            <w:tcW w:w="741" w:type="dxa"/>
            <w:tcBorders>
              <w:top w:val="single" w:color="auto" w:sz="6" w:space="0"/>
              <w:left w:val="single" w:color="auto" w:sz="4" w:space="0"/>
              <w:bottom w:val="single" w:color="auto" w:sz="6" w:space="0"/>
              <w:right w:val="single" w:color="auto" w:sz="6" w:space="0"/>
            </w:tcBorders>
            <w:vAlign w:val="center"/>
          </w:tcPr>
          <w:p>
            <w:pPr>
              <w:widowControl/>
              <w:spacing w:line="360" w:lineRule="auto"/>
              <w:jc w:val="center"/>
              <w:rPr>
                <w:rFonts w:ascii="宋体" w:hAnsi="宋体" w:cs="宋体"/>
                <w:color w:val="auto"/>
                <w:sz w:val="24"/>
                <w:highlight w:val="none"/>
              </w:rPr>
            </w:pPr>
            <w:r>
              <w:rPr>
                <w:rFonts w:ascii="宋体" w:hAnsi="宋体" w:cs="宋体"/>
                <w:color w:val="auto"/>
                <w:kern w:val="0"/>
                <w:sz w:val="24"/>
                <w:highlight w:val="none"/>
              </w:rPr>
              <w:t>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83" w:type="dxa"/>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r>
              <w:rPr>
                <w:rFonts w:ascii="宋体" w:hAnsi="宋体" w:cs="宋体"/>
                <w:color w:val="auto"/>
                <w:sz w:val="24"/>
                <w:highlight w:val="none"/>
              </w:rPr>
              <w:t>4</w:t>
            </w:r>
          </w:p>
        </w:tc>
        <w:tc>
          <w:tcPr>
            <w:tcW w:w="8692" w:type="dxa"/>
            <w:tcBorders>
              <w:top w:val="single" w:color="auto" w:sz="6" w:space="0"/>
              <w:left w:val="single" w:color="auto" w:sz="4" w:space="0"/>
              <w:bottom w:val="single" w:color="auto" w:sz="6" w:space="0"/>
              <w:right w:val="single" w:color="auto" w:sz="4" w:space="0"/>
            </w:tcBorders>
          </w:tcPr>
          <w:p>
            <w:pPr>
              <w:widowControl/>
              <w:spacing w:line="360" w:lineRule="auto"/>
              <w:jc w:val="left"/>
              <w:rPr>
                <w:rFonts w:ascii="宋体" w:hAnsi="宋体" w:cs="宋体"/>
                <w:color w:val="auto"/>
                <w:kern w:val="0"/>
                <w:sz w:val="24"/>
                <w:highlight w:val="none"/>
              </w:rPr>
            </w:pPr>
            <w:r>
              <w:rPr>
                <w:rFonts w:hint="eastAsia" w:ascii="宋体" w:hAnsi="宋体"/>
                <w:color w:val="auto"/>
                <w:kern w:val="0"/>
                <w:sz w:val="24"/>
                <w:highlight w:val="none"/>
              </w:rPr>
              <w:t>根据磋商响应供应商提供的方案，需要具备完善的安全报警系统设施，</w:t>
            </w:r>
            <w:r>
              <w:rPr>
                <w:rFonts w:hint="eastAsia" w:ascii="宋体" w:hAnsi="宋体"/>
                <w:color w:val="auto"/>
                <w:sz w:val="24"/>
                <w:highlight w:val="none"/>
              </w:rPr>
              <w:t>提</w:t>
            </w:r>
            <w:r>
              <w:rPr>
                <w:rFonts w:hint="eastAsia" w:ascii="宋体" w:hAnsi="宋体" w:cs="宋体"/>
                <w:color w:val="auto"/>
                <w:sz w:val="24"/>
                <w:highlight w:val="none"/>
              </w:rPr>
              <w:t>供证明材料，</w:t>
            </w:r>
            <w:r>
              <w:rPr>
                <w:rFonts w:hint="eastAsia" w:ascii="宋体" w:hAnsi="宋体"/>
                <w:color w:val="auto"/>
                <w:kern w:val="0"/>
                <w:sz w:val="24"/>
                <w:highlight w:val="none"/>
              </w:rPr>
              <w:t>每增加一项安全设施加0</w:t>
            </w:r>
            <w:r>
              <w:rPr>
                <w:rFonts w:ascii="宋体" w:hAnsi="宋体"/>
                <w:color w:val="auto"/>
                <w:kern w:val="0"/>
                <w:sz w:val="24"/>
                <w:highlight w:val="none"/>
              </w:rPr>
              <w:t>.5</w:t>
            </w:r>
            <w:r>
              <w:rPr>
                <w:rFonts w:hint="eastAsia" w:ascii="宋体" w:hAnsi="宋体"/>
                <w:color w:val="auto"/>
                <w:kern w:val="0"/>
                <w:sz w:val="24"/>
                <w:highlight w:val="none"/>
              </w:rPr>
              <w:t>分，最高3分。</w:t>
            </w:r>
          </w:p>
        </w:tc>
        <w:tc>
          <w:tcPr>
            <w:tcW w:w="741" w:type="dxa"/>
            <w:tcBorders>
              <w:top w:val="single" w:color="auto" w:sz="6" w:space="0"/>
              <w:left w:val="single" w:color="auto" w:sz="4" w:space="0"/>
              <w:bottom w:val="single" w:color="auto" w:sz="6" w:space="0"/>
              <w:right w:val="single" w:color="auto" w:sz="6" w:space="0"/>
            </w:tcBorders>
            <w:vAlign w:val="center"/>
          </w:tcPr>
          <w:p>
            <w:pPr>
              <w:widowControl/>
              <w:spacing w:line="360" w:lineRule="auto"/>
              <w:jc w:val="center"/>
              <w:rPr>
                <w:rFonts w:ascii="宋体" w:hAnsi="宋体" w:cs="宋体"/>
                <w:color w:val="auto"/>
                <w:sz w:val="24"/>
                <w:highlight w:val="none"/>
              </w:rPr>
            </w:pPr>
            <w:r>
              <w:rPr>
                <w:rFonts w:ascii="宋体" w:hAnsi="宋体" w:cs="宋体"/>
                <w:color w:val="auto"/>
                <w:kern w:val="0"/>
                <w:sz w:val="24"/>
                <w:highlight w:val="none"/>
              </w:rPr>
              <w:t>3</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83" w:type="dxa"/>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r>
              <w:rPr>
                <w:rFonts w:ascii="宋体" w:hAnsi="宋体" w:cs="宋体"/>
                <w:color w:val="auto"/>
                <w:sz w:val="24"/>
                <w:highlight w:val="none"/>
              </w:rPr>
              <w:t>5</w:t>
            </w:r>
          </w:p>
        </w:tc>
        <w:tc>
          <w:tcPr>
            <w:tcW w:w="8692" w:type="dxa"/>
            <w:tcBorders>
              <w:top w:val="single" w:color="auto" w:sz="6" w:space="0"/>
              <w:left w:val="single" w:color="auto" w:sz="4" w:space="0"/>
              <w:bottom w:val="single" w:color="auto" w:sz="6" w:space="0"/>
              <w:right w:val="single" w:color="auto" w:sz="4" w:space="0"/>
            </w:tcBorders>
          </w:tcPr>
          <w:p>
            <w:pPr>
              <w:widowControl/>
              <w:spacing w:line="360" w:lineRule="auto"/>
              <w:jc w:val="left"/>
              <w:rPr>
                <w:rFonts w:ascii="宋体" w:hAnsi="宋体" w:cs="宋体"/>
                <w:color w:val="auto"/>
                <w:kern w:val="0"/>
                <w:sz w:val="24"/>
                <w:highlight w:val="none"/>
              </w:rPr>
            </w:pPr>
            <w:r>
              <w:rPr>
                <w:rFonts w:hint="eastAsia" w:ascii="宋体" w:hAnsi="宋体" w:cs="宋体"/>
                <w:color w:val="auto"/>
                <w:sz w:val="24"/>
                <w:highlight w:val="none"/>
              </w:rPr>
              <w:t>根据</w:t>
            </w:r>
            <w:r>
              <w:rPr>
                <w:rFonts w:hint="eastAsia" w:ascii="宋体" w:hAnsi="宋体"/>
                <w:color w:val="auto"/>
                <w:kern w:val="0"/>
                <w:sz w:val="24"/>
                <w:highlight w:val="none"/>
              </w:rPr>
              <w:t>磋商响应供应商提供的平面布置图，专家针对设计方案进行评估打分。总分</w:t>
            </w:r>
            <w:r>
              <w:rPr>
                <w:rFonts w:ascii="宋体" w:hAnsi="宋体"/>
                <w:color w:val="auto"/>
                <w:kern w:val="0"/>
                <w:sz w:val="24"/>
                <w:highlight w:val="none"/>
              </w:rPr>
              <w:t>5</w:t>
            </w:r>
            <w:r>
              <w:rPr>
                <w:rFonts w:hint="eastAsia" w:ascii="宋体" w:hAnsi="宋体"/>
                <w:color w:val="auto"/>
                <w:kern w:val="0"/>
                <w:sz w:val="24"/>
                <w:highlight w:val="none"/>
              </w:rPr>
              <w:t>分，优秀</w:t>
            </w:r>
            <w:r>
              <w:rPr>
                <w:rFonts w:ascii="宋体" w:hAnsi="宋体"/>
                <w:color w:val="auto"/>
                <w:kern w:val="0"/>
                <w:sz w:val="24"/>
                <w:highlight w:val="none"/>
              </w:rPr>
              <w:t>5</w:t>
            </w:r>
            <w:r>
              <w:rPr>
                <w:rFonts w:hint="eastAsia" w:ascii="宋体" w:hAnsi="宋体"/>
                <w:color w:val="auto"/>
                <w:kern w:val="0"/>
                <w:sz w:val="24"/>
                <w:highlight w:val="none"/>
              </w:rPr>
              <w:t>分；良好</w:t>
            </w:r>
            <w:r>
              <w:rPr>
                <w:rFonts w:ascii="宋体" w:hAnsi="宋体"/>
                <w:color w:val="auto"/>
                <w:kern w:val="0"/>
                <w:sz w:val="24"/>
                <w:highlight w:val="none"/>
              </w:rPr>
              <w:t>4</w:t>
            </w:r>
            <w:r>
              <w:rPr>
                <w:rFonts w:hint="eastAsia" w:ascii="宋体" w:hAnsi="宋体"/>
                <w:color w:val="auto"/>
                <w:kern w:val="0"/>
                <w:sz w:val="24"/>
                <w:highlight w:val="none"/>
              </w:rPr>
              <w:t>分；一般</w:t>
            </w:r>
            <w:r>
              <w:rPr>
                <w:rFonts w:ascii="宋体" w:hAnsi="宋体"/>
                <w:color w:val="auto"/>
                <w:kern w:val="0"/>
                <w:sz w:val="24"/>
                <w:highlight w:val="none"/>
              </w:rPr>
              <w:t>3</w:t>
            </w:r>
            <w:r>
              <w:rPr>
                <w:rFonts w:hint="eastAsia" w:ascii="宋体" w:hAnsi="宋体"/>
                <w:color w:val="auto"/>
                <w:kern w:val="0"/>
                <w:sz w:val="24"/>
                <w:highlight w:val="none"/>
              </w:rPr>
              <w:t>分；不合理设计0</w:t>
            </w:r>
            <w:r>
              <w:rPr>
                <w:rFonts w:ascii="宋体" w:hAnsi="宋体"/>
                <w:color w:val="auto"/>
                <w:kern w:val="0"/>
                <w:sz w:val="24"/>
                <w:highlight w:val="none"/>
              </w:rPr>
              <w:t>-2</w:t>
            </w:r>
            <w:r>
              <w:rPr>
                <w:rFonts w:hint="eastAsia" w:ascii="宋体" w:hAnsi="宋体"/>
                <w:color w:val="auto"/>
                <w:kern w:val="0"/>
                <w:sz w:val="24"/>
                <w:highlight w:val="none"/>
              </w:rPr>
              <w:t>分。</w:t>
            </w:r>
          </w:p>
        </w:tc>
        <w:tc>
          <w:tcPr>
            <w:tcW w:w="741" w:type="dxa"/>
            <w:tcBorders>
              <w:top w:val="single" w:color="auto" w:sz="6" w:space="0"/>
              <w:left w:val="single" w:color="auto" w:sz="4" w:space="0"/>
              <w:bottom w:val="single" w:color="auto" w:sz="6" w:space="0"/>
              <w:right w:val="single" w:color="auto" w:sz="6" w:space="0"/>
            </w:tcBorders>
            <w:vAlign w:val="center"/>
          </w:tcPr>
          <w:p>
            <w:pPr>
              <w:widowControl/>
              <w:spacing w:line="360" w:lineRule="auto"/>
              <w:jc w:val="center"/>
              <w:rPr>
                <w:rFonts w:ascii="宋体" w:hAnsi="宋体" w:cs="宋体"/>
                <w:color w:val="auto"/>
                <w:sz w:val="24"/>
                <w:highlight w:val="none"/>
              </w:rPr>
            </w:pPr>
            <w:r>
              <w:rPr>
                <w:rFonts w:ascii="宋体" w:hAnsi="宋体" w:cs="宋体"/>
                <w:color w:val="auto"/>
                <w:kern w:val="0"/>
                <w:sz w:val="24"/>
                <w:highlight w:val="none"/>
              </w:rPr>
              <w:t>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83" w:type="dxa"/>
            <w:tcBorders>
              <w:top w:val="single" w:color="auto" w:sz="6" w:space="0"/>
              <w:left w:val="single" w:color="auto" w:sz="6" w:space="0"/>
              <w:bottom w:val="single" w:color="auto" w:sz="6" w:space="0"/>
              <w:right w:val="single" w:color="auto" w:sz="4" w:space="0"/>
            </w:tcBorders>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r>
              <w:rPr>
                <w:rFonts w:ascii="宋体" w:hAnsi="宋体" w:cs="宋体"/>
                <w:color w:val="auto"/>
                <w:sz w:val="24"/>
                <w:highlight w:val="none"/>
              </w:rPr>
              <w:t>6</w:t>
            </w:r>
          </w:p>
        </w:tc>
        <w:tc>
          <w:tcPr>
            <w:tcW w:w="8692" w:type="dxa"/>
            <w:tcBorders>
              <w:top w:val="single" w:color="auto" w:sz="6" w:space="0"/>
              <w:left w:val="single" w:color="auto" w:sz="4" w:space="0"/>
              <w:bottom w:val="single" w:color="auto" w:sz="6" w:space="0"/>
              <w:right w:val="single" w:color="auto" w:sz="4" w:space="0"/>
            </w:tcBorders>
          </w:tcPr>
          <w:p>
            <w:pPr>
              <w:widowControl/>
              <w:spacing w:line="360" w:lineRule="auto"/>
              <w:jc w:val="left"/>
              <w:rPr>
                <w:rFonts w:ascii="宋体" w:hAnsi="宋体" w:cs="宋体"/>
                <w:color w:val="auto"/>
                <w:kern w:val="0"/>
                <w:sz w:val="24"/>
                <w:highlight w:val="none"/>
              </w:rPr>
            </w:pPr>
            <w:r>
              <w:rPr>
                <w:rFonts w:hint="eastAsia" w:ascii="宋体" w:hAnsi="宋体"/>
                <w:color w:val="auto"/>
                <w:kern w:val="0"/>
                <w:sz w:val="24"/>
                <w:highlight w:val="none"/>
              </w:rPr>
              <w:t>根据磋商响应供应商提供的配件配置清单，专家针对配件品质、行业认可度等进行评估打分，总分为</w:t>
            </w:r>
            <w:r>
              <w:rPr>
                <w:rFonts w:ascii="宋体" w:hAnsi="宋体"/>
                <w:color w:val="auto"/>
                <w:kern w:val="0"/>
                <w:sz w:val="24"/>
                <w:highlight w:val="none"/>
              </w:rPr>
              <w:t>18</w:t>
            </w:r>
            <w:r>
              <w:rPr>
                <w:rFonts w:hint="eastAsia" w:ascii="宋体" w:hAnsi="宋体"/>
                <w:color w:val="auto"/>
                <w:kern w:val="0"/>
                <w:sz w:val="24"/>
                <w:highlight w:val="none"/>
              </w:rPr>
              <w:t>分。</w:t>
            </w:r>
          </w:p>
        </w:tc>
        <w:tc>
          <w:tcPr>
            <w:tcW w:w="741" w:type="dxa"/>
            <w:tcBorders>
              <w:top w:val="single" w:color="auto" w:sz="6" w:space="0"/>
              <w:left w:val="single" w:color="auto" w:sz="4" w:space="0"/>
              <w:bottom w:val="single" w:color="auto" w:sz="6" w:space="0"/>
              <w:right w:val="single" w:color="auto" w:sz="6" w:space="0"/>
            </w:tcBorders>
            <w:vAlign w:val="center"/>
          </w:tcPr>
          <w:p>
            <w:pPr>
              <w:widowControl/>
              <w:spacing w:line="360" w:lineRule="auto"/>
              <w:jc w:val="center"/>
              <w:rPr>
                <w:rFonts w:ascii="宋体" w:hAnsi="宋体" w:cs="宋体"/>
                <w:color w:val="auto"/>
                <w:sz w:val="24"/>
                <w:highlight w:val="none"/>
              </w:rPr>
            </w:pPr>
            <w:r>
              <w:rPr>
                <w:rFonts w:ascii="宋体" w:hAnsi="宋体" w:cs="宋体"/>
                <w:color w:val="auto"/>
                <w:kern w:val="0"/>
                <w:sz w:val="24"/>
                <w:highlight w:val="none"/>
              </w:rPr>
              <w:t>18</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83" w:type="dxa"/>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r>
              <w:rPr>
                <w:rFonts w:ascii="宋体" w:hAnsi="宋体" w:cs="宋体"/>
                <w:color w:val="auto"/>
                <w:sz w:val="24"/>
                <w:highlight w:val="none"/>
              </w:rPr>
              <w:t>7</w:t>
            </w:r>
          </w:p>
        </w:tc>
        <w:tc>
          <w:tcPr>
            <w:tcW w:w="8692" w:type="dxa"/>
          </w:tcPr>
          <w:p>
            <w:pPr>
              <w:spacing w:line="360" w:lineRule="auto"/>
              <w:rPr>
                <w:rFonts w:ascii="宋体" w:hAnsi="宋体" w:cs="宋体"/>
                <w:color w:val="auto"/>
                <w:sz w:val="24"/>
                <w:highlight w:val="none"/>
              </w:rPr>
            </w:pPr>
            <w:r>
              <w:rPr>
                <w:rFonts w:hint="eastAsia" w:ascii="宋体" w:hAnsi="宋体"/>
                <w:color w:val="auto"/>
                <w:kern w:val="0"/>
                <w:sz w:val="24"/>
                <w:highlight w:val="none"/>
              </w:rPr>
              <w:t>根据磋商响应供应商提供的方案，配备必要尾气吸收和处理装置，此项根据专家经验和意见打分，满分</w:t>
            </w:r>
            <w:r>
              <w:rPr>
                <w:rFonts w:ascii="宋体" w:hAnsi="宋体"/>
                <w:color w:val="auto"/>
                <w:kern w:val="0"/>
                <w:sz w:val="24"/>
                <w:highlight w:val="none"/>
              </w:rPr>
              <w:t>2</w:t>
            </w:r>
            <w:r>
              <w:rPr>
                <w:rFonts w:hint="eastAsia" w:ascii="宋体" w:hAnsi="宋体"/>
                <w:color w:val="auto"/>
                <w:kern w:val="0"/>
                <w:sz w:val="24"/>
                <w:highlight w:val="none"/>
              </w:rPr>
              <w:t>分。</w:t>
            </w:r>
          </w:p>
        </w:tc>
        <w:tc>
          <w:tcPr>
            <w:tcW w:w="741" w:type="dxa"/>
            <w:vAlign w:val="center"/>
          </w:tcPr>
          <w:p>
            <w:pPr>
              <w:widowControl/>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216" w:type="dxa"/>
            <w:gridSpan w:val="3"/>
            <w:vAlign w:val="center"/>
          </w:tcPr>
          <w:p>
            <w:pPr>
              <w:widowControl/>
              <w:spacing w:line="360" w:lineRule="auto"/>
              <w:jc w:val="left"/>
              <w:rPr>
                <w:rFonts w:ascii="宋体" w:hAnsi="宋体" w:cs="宋体"/>
                <w:color w:val="auto"/>
                <w:kern w:val="0"/>
                <w:sz w:val="24"/>
                <w:highlight w:val="none"/>
              </w:rPr>
            </w:pPr>
            <w:r>
              <w:rPr>
                <w:rFonts w:hint="eastAsia" w:ascii="宋体" w:hAnsi="宋体" w:cs="宋体"/>
                <w:b/>
                <w:bCs/>
                <w:color w:val="auto"/>
                <w:sz w:val="24"/>
                <w:highlight w:val="none"/>
              </w:rPr>
              <w:t>备注：以上若要求提供证明文件、材料的，均应在提交的材料上加盖磋商响应供应商公章。</w:t>
            </w:r>
          </w:p>
        </w:tc>
      </w:tr>
    </w:tbl>
    <w:p>
      <w:pPr>
        <w:pStyle w:val="32"/>
        <w:widowControl w:val="0"/>
        <w:numPr>
          <w:ilvl w:val="0"/>
          <w:numId w:val="9"/>
        </w:numPr>
        <w:adjustRightInd w:val="0"/>
        <w:spacing w:before="0" w:beforeAutospacing="0" w:after="0" w:afterAutospacing="0" w:line="400" w:lineRule="exact"/>
        <w:jc w:val="both"/>
        <w:outlineLvl w:val="2"/>
        <w:rPr>
          <w:rFonts w:ascii="宋体" w:eastAsia="宋体" w:cs="微软雅黑"/>
          <w:b/>
          <w:bCs/>
          <w:sz w:val="24"/>
          <w:szCs w:val="24"/>
        </w:rPr>
      </w:pPr>
      <w:r>
        <w:rPr>
          <w:rFonts w:hint="eastAsia" w:ascii="宋体" w:eastAsia="宋体" w:cs="微软雅黑"/>
          <w:b/>
          <w:bCs/>
          <w:sz w:val="24"/>
          <w:szCs w:val="24"/>
        </w:rPr>
        <w:t>商务分F2（满分20分）</w:t>
      </w:r>
    </w:p>
    <w:tbl>
      <w:tblPr>
        <w:tblStyle w:val="19"/>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8730"/>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spacing w:line="360" w:lineRule="auto"/>
              <w:jc w:val="center"/>
              <w:rPr>
                <w:rFonts w:ascii="宋体" w:hAnsi="宋体" w:cs="宋体"/>
                <w:b/>
                <w:kern w:val="10"/>
                <w:sz w:val="24"/>
                <w:highlight w:val="none"/>
              </w:rPr>
            </w:pPr>
            <w:r>
              <w:rPr>
                <w:rFonts w:hint="eastAsia" w:ascii="宋体" w:hAnsi="宋体" w:cs="宋体"/>
                <w:b/>
                <w:kern w:val="10"/>
                <w:sz w:val="24"/>
                <w:highlight w:val="none"/>
              </w:rPr>
              <w:t>序号</w:t>
            </w:r>
          </w:p>
        </w:tc>
        <w:tc>
          <w:tcPr>
            <w:tcW w:w="8730" w:type="dxa"/>
            <w:vAlign w:val="center"/>
          </w:tcPr>
          <w:p>
            <w:pPr>
              <w:spacing w:line="360" w:lineRule="auto"/>
              <w:jc w:val="center"/>
              <w:rPr>
                <w:rFonts w:ascii="宋体" w:hAnsi="宋体" w:cs="宋体"/>
                <w:b/>
                <w:sz w:val="24"/>
                <w:highlight w:val="none"/>
              </w:rPr>
            </w:pPr>
            <w:r>
              <w:rPr>
                <w:rFonts w:hint="eastAsia" w:ascii="宋体" w:hAnsi="宋体" w:cs="宋体"/>
                <w:b/>
                <w:sz w:val="24"/>
                <w:highlight w:val="none"/>
              </w:rPr>
              <w:t>评分界定</w:t>
            </w:r>
          </w:p>
        </w:tc>
        <w:tc>
          <w:tcPr>
            <w:tcW w:w="699" w:type="dxa"/>
            <w:vAlign w:val="center"/>
          </w:tcPr>
          <w:p>
            <w:pPr>
              <w:spacing w:line="360" w:lineRule="auto"/>
              <w:rPr>
                <w:rFonts w:ascii="宋体" w:hAnsi="宋体" w:cs="宋体"/>
                <w:b/>
                <w:sz w:val="24"/>
                <w:highlight w:val="none"/>
              </w:rPr>
            </w:pPr>
            <w:r>
              <w:rPr>
                <w:rFonts w:hint="eastAsia" w:ascii="宋体" w:hAnsi="宋体" w:cs="宋体"/>
                <w:b/>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widowControl/>
              <w:spacing w:line="360" w:lineRule="auto"/>
              <w:jc w:val="center"/>
              <w:rPr>
                <w:rFonts w:ascii="宋体" w:hAnsi="宋体" w:cs="宋体"/>
                <w:bCs/>
                <w:sz w:val="24"/>
                <w:highlight w:val="none"/>
              </w:rPr>
            </w:pPr>
            <w:r>
              <w:rPr>
                <w:rFonts w:hint="eastAsia" w:ascii="宋体" w:hAnsi="宋体"/>
                <w:kern w:val="0"/>
                <w:sz w:val="24"/>
                <w:highlight w:val="none"/>
              </w:rPr>
              <w:t>2-1</w:t>
            </w:r>
          </w:p>
        </w:tc>
        <w:tc>
          <w:tcPr>
            <w:tcW w:w="8730" w:type="dxa"/>
          </w:tcPr>
          <w:p>
            <w:pPr>
              <w:pStyle w:val="34"/>
              <w:spacing w:line="360" w:lineRule="auto"/>
              <w:ind w:firstLine="0" w:firstLineChars="0"/>
              <w:rPr>
                <w:rFonts w:ascii="宋体" w:hAnsi="宋体" w:cs="宋体"/>
                <w:sz w:val="24"/>
                <w:highlight w:val="none"/>
              </w:rPr>
            </w:pPr>
            <w:r>
              <w:rPr>
                <w:rFonts w:hint="eastAsia" w:ascii="宋体" w:hAnsi="宋体" w:cs="宋体"/>
                <w:bCs/>
                <w:kern w:val="0"/>
                <w:sz w:val="24"/>
                <w:highlight w:val="none"/>
                <w:lang w:bidi="ar"/>
              </w:rPr>
              <w:t>磋商响应供应商具有有效的</w:t>
            </w:r>
            <w:r>
              <w:rPr>
                <w:rFonts w:hint="eastAsia" w:ascii="宋体" w:hAnsi="宋体" w:cs="宋体"/>
                <w:kern w:val="0"/>
                <w:sz w:val="24"/>
                <w:highlight w:val="none"/>
                <w:lang w:bidi="ar"/>
              </w:rPr>
              <w:t>ISO9001</w:t>
            </w:r>
            <w:r>
              <w:rPr>
                <w:rFonts w:hint="eastAsia" w:ascii="宋体" w:hAnsi="宋体" w:cs="宋体"/>
                <w:bCs/>
                <w:kern w:val="0"/>
                <w:sz w:val="24"/>
                <w:highlight w:val="none"/>
                <w:lang w:bidi="ar"/>
              </w:rPr>
              <w:t>质量管理体系认证证书的得</w:t>
            </w:r>
            <w:r>
              <w:rPr>
                <w:rFonts w:ascii="宋体" w:hAnsi="宋体" w:cs="宋体"/>
                <w:bCs/>
                <w:kern w:val="0"/>
                <w:sz w:val="24"/>
                <w:highlight w:val="none"/>
                <w:lang w:bidi="ar"/>
              </w:rPr>
              <w:t>0.5</w:t>
            </w:r>
            <w:r>
              <w:rPr>
                <w:rFonts w:hint="eastAsia" w:ascii="宋体" w:hAnsi="宋体" w:cs="宋体"/>
                <w:bCs/>
                <w:kern w:val="0"/>
                <w:sz w:val="24"/>
                <w:highlight w:val="none"/>
                <w:lang w:bidi="ar"/>
              </w:rPr>
              <w:t>分，需提供有效认证证书扫描件，否则不得分。</w:t>
            </w:r>
          </w:p>
        </w:tc>
        <w:tc>
          <w:tcPr>
            <w:tcW w:w="699" w:type="dxa"/>
            <w:vAlign w:val="center"/>
          </w:tcPr>
          <w:p>
            <w:pPr>
              <w:widowControl/>
              <w:spacing w:line="360" w:lineRule="auto"/>
              <w:jc w:val="center"/>
              <w:rPr>
                <w:rFonts w:ascii="宋体" w:hAnsi="宋体" w:cs="宋体"/>
                <w:sz w:val="24"/>
                <w:highlight w:val="none"/>
              </w:rPr>
            </w:pPr>
            <w:r>
              <w:rPr>
                <w:rFonts w:ascii="宋体" w:hAnsi="宋体"/>
                <w:kern w:val="0"/>
                <w:sz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widowControl/>
              <w:spacing w:line="360" w:lineRule="auto"/>
              <w:jc w:val="center"/>
              <w:rPr>
                <w:rFonts w:ascii="宋体" w:hAnsi="宋体" w:cs="宋体"/>
                <w:sz w:val="24"/>
                <w:highlight w:val="none"/>
              </w:rPr>
            </w:pPr>
            <w:r>
              <w:rPr>
                <w:rFonts w:hint="eastAsia" w:ascii="宋体" w:hAnsi="宋体"/>
                <w:kern w:val="0"/>
                <w:sz w:val="24"/>
                <w:highlight w:val="none"/>
              </w:rPr>
              <w:t>2-2</w:t>
            </w:r>
          </w:p>
        </w:tc>
        <w:tc>
          <w:tcPr>
            <w:tcW w:w="8730" w:type="dxa"/>
          </w:tcPr>
          <w:p>
            <w:pPr>
              <w:pStyle w:val="34"/>
              <w:spacing w:line="360" w:lineRule="auto"/>
              <w:ind w:firstLine="0" w:firstLineChars="0"/>
              <w:rPr>
                <w:rFonts w:ascii="宋体" w:hAnsi="宋体" w:cs="宋体"/>
                <w:kern w:val="0"/>
                <w:sz w:val="24"/>
                <w:highlight w:val="none"/>
              </w:rPr>
            </w:pPr>
            <w:r>
              <w:rPr>
                <w:rFonts w:hint="eastAsia" w:ascii="宋体" w:hAnsi="宋体" w:cs="宋体"/>
                <w:bCs/>
                <w:kern w:val="0"/>
                <w:sz w:val="24"/>
                <w:highlight w:val="none"/>
                <w:lang w:bidi="ar"/>
              </w:rPr>
              <w:t>磋商响应供应商具有有效的</w:t>
            </w:r>
            <w:r>
              <w:rPr>
                <w:rFonts w:hint="eastAsia" w:ascii="宋体" w:hAnsi="宋体" w:cs="宋体"/>
                <w:kern w:val="0"/>
                <w:sz w:val="24"/>
                <w:highlight w:val="none"/>
                <w:lang w:bidi="ar"/>
              </w:rPr>
              <w:t>ISO14001</w:t>
            </w:r>
            <w:r>
              <w:rPr>
                <w:rFonts w:hint="eastAsia" w:ascii="宋体" w:hAnsi="宋体" w:cs="宋体"/>
                <w:bCs/>
                <w:kern w:val="0"/>
                <w:sz w:val="24"/>
                <w:highlight w:val="none"/>
                <w:lang w:bidi="ar"/>
              </w:rPr>
              <w:t>环境管理体系认证证书的得</w:t>
            </w:r>
            <w:r>
              <w:rPr>
                <w:rFonts w:ascii="宋体" w:hAnsi="宋体" w:cs="宋体"/>
                <w:bCs/>
                <w:kern w:val="0"/>
                <w:sz w:val="24"/>
                <w:highlight w:val="none"/>
                <w:lang w:bidi="ar"/>
              </w:rPr>
              <w:t>0.5</w:t>
            </w:r>
            <w:r>
              <w:rPr>
                <w:rFonts w:hint="eastAsia" w:ascii="宋体" w:hAnsi="宋体" w:cs="宋体"/>
                <w:bCs/>
                <w:kern w:val="0"/>
                <w:sz w:val="24"/>
                <w:highlight w:val="none"/>
                <w:lang w:bidi="ar"/>
              </w:rPr>
              <w:t>分，需提供有效认证证书扫描件，否则不得分。</w:t>
            </w:r>
          </w:p>
        </w:tc>
        <w:tc>
          <w:tcPr>
            <w:tcW w:w="699" w:type="dxa"/>
            <w:vAlign w:val="center"/>
          </w:tcPr>
          <w:p>
            <w:pPr>
              <w:widowControl/>
              <w:spacing w:line="360" w:lineRule="auto"/>
              <w:jc w:val="center"/>
              <w:rPr>
                <w:rFonts w:ascii="宋体" w:hAnsi="宋体" w:cs="宋体"/>
                <w:sz w:val="24"/>
                <w:highlight w:val="none"/>
              </w:rPr>
            </w:pPr>
            <w:r>
              <w:rPr>
                <w:rFonts w:ascii="宋体" w:hAnsi="宋体"/>
                <w:kern w:val="0"/>
                <w:sz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widowControl/>
              <w:spacing w:line="360" w:lineRule="auto"/>
              <w:jc w:val="center"/>
              <w:rPr>
                <w:rFonts w:ascii="宋体" w:hAnsi="宋体" w:cs="宋体"/>
                <w:sz w:val="24"/>
                <w:highlight w:val="none"/>
              </w:rPr>
            </w:pPr>
            <w:r>
              <w:rPr>
                <w:rFonts w:hint="eastAsia" w:ascii="宋体" w:hAnsi="宋体"/>
                <w:kern w:val="0"/>
                <w:sz w:val="24"/>
                <w:highlight w:val="none"/>
              </w:rPr>
              <w:t>2-3</w:t>
            </w:r>
          </w:p>
        </w:tc>
        <w:tc>
          <w:tcPr>
            <w:tcW w:w="8730" w:type="dxa"/>
          </w:tcPr>
          <w:p>
            <w:pPr>
              <w:pStyle w:val="34"/>
              <w:spacing w:line="360" w:lineRule="auto"/>
              <w:ind w:firstLine="0" w:firstLineChars="0"/>
              <w:rPr>
                <w:highlight w:val="none"/>
              </w:rPr>
            </w:pPr>
            <w:r>
              <w:rPr>
                <w:rFonts w:hint="eastAsia" w:ascii="宋体" w:hAnsi="宋体" w:cs="宋体"/>
                <w:bCs/>
                <w:kern w:val="0"/>
                <w:sz w:val="24"/>
                <w:highlight w:val="none"/>
                <w:lang w:bidi="ar"/>
              </w:rPr>
              <w:t>磋商响应供应商具有有效的ISO 45001或0HSAS18001职业健康安全管理体系认证证书的得</w:t>
            </w:r>
            <w:r>
              <w:rPr>
                <w:rFonts w:ascii="宋体" w:hAnsi="宋体" w:cs="宋体"/>
                <w:bCs/>
                <w:kern w:val="0"/>
                <w:sz w:val="24"/>
                <w:highlight w:val="none"/>
                <w:lang w:bidi="ar"/>
              </w:rPr>
              <w:t>0.5</w:t>
            </w:r>
            <w:r>
              <w:rPr>
                <w:rFonts w:hint="eastAsia" w:ascii="宋体" w:hAnsi="宋体" w:cs="宋体"/>
                <w:bCs/>
                <w:kern w:val="0"/>
                <w:sz w:val="24"/>
                <w:highlight w:val="none"/>
                <w:lang w:bidi="ar"/>
              </w:rPr>
              <w:t>分，需提供有效认证证书扫描件，否则不得分。</w:t>
            </w:r>
          </w:p>
        </w:tc>
        <w:tc>
          <w:tcPr>
            <w:tcW w:w="699" w:type="dxa"/>
            <w:vAlign w:val="center"/>
          </w:tcPr>
          <w:p>
            <w:pPr>
              <w:widowControl/>
              <w:spacing w:line="360" w:lineRule="auto"/>
              <w:jc w:val="center"/>
              <w:rPr>
                <w:rFonts w:ascii="宋体" w:hAnsi="宋体" w:cs="宋体"/>
                <w:sz w:val="24"/>
                <w:highlight w:val="none"/>
              </w:rPr>
            </w:pPr>
            <w:r>
              <w:rPr>
                <w:rFonts w:ascii="宋体" w:hAnsi="宋体"/>
                <w:kern w:val="0"/>
                <w:sz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widowControl/>
              <w:spacing w:line="360" w:lineRule="auto"/>
              <w:jc w:val="center"/>
              <w:rPr>
                <w:rFonts w:ascii="宋体" w:hAnsi="宋体" w:cs="宋体"/>
                <w:sz w:val="24"/>
                <w:highlight w:val="none"/>
              </w:rPr>
            </w:pPr>
            <w:r>
              <w:rPr>
                <w:rFonts w:hint="eastAsia" w:ascii="宋体" w:hAnsi="宋体"/>
                <w:kern w:val="0"/>
                <w:sz w:val="24"/>
                <w:highlight w:val="none"/>
              </w:rPr>
              <w:t>2-4</w:t>
            </w:r>
          </w:p>
        </w:tc>
        <w:tc>
          <w:tcPr>
            <w:tcW w:w="8730" w:type="dxa"/>
          </w:tcPr>
          <w:p>
            <w:pPr>
              <w:pStyle w:val="34"/>
              <w:spacing w:line="360" w:lineRule="auto"/>
              <w:ind w:firstLine="0" w:firstLineChars="0"/>
              <w:rPr>
                <w:rFonts w:ascii="宋体" w:hAnsi="宋体" w:cs="宋体"/>
                <w:sz w:val="24"/>
                <w:highlight w:val="none"/>
              </w:rPr>
            </w:pPr>
            <w:r>
              <w:rPr>
                <w:rFonts w:hint="eastAsia" w:ascii="宋体" w:hAnsi="宋体"/>
                <w:kern w:val="0"/>
                <w:sz w:val="24"/>
                <w:szCs w:val="24"/>
                <w:highlight w:val="none"/>
              </w:rPr>
              <w:t>磋商响应供应商具备有效的</w:t>
            </w:r>
            <w:r>
              <w:rPr>
                <w:rFonts w:hint="eastAsia" w:ascii="宋体" w:hAnsi="宋体"/>
                <w:sz w:val="24"/>
                <w:szCs w:val="24"/>
                <w:highlight w:val="none"/>
              </w:rPr>
              <w:t>知识产权管理体系认证</w:t>
            </w:r>
            <w:r>
              <w:rPr>
                <w:rFonts w:hint="eastAsia" w:ascii="宋体" w:hAnsi="宋体"/>
                <w:kern w:val="0"/>
                <w:sz w:val="24"/>
                <w:szCs w:val="24"/>
                <w:highlight w:val="none"/>
              </w:rPr>
              <w:t>的得</w:t>
            </w:r>
            <w:r>
              <w:rPr>
                <w:rFonts w:ascii="宋体" w:hAnsi="宋体"/>
                <w:kern w:val="0"/>
                <w:sz w:val="24"/>
                <w:szCs w:val="24"/>
                <w:highlight w:val="none"/>
              </w:rPr>
              <w:t>0.5</w:t>
            </w:r>
            <w:r>
              <w:rPr>
                <w:rFonts w:hint="eastAsia" w:ascii="宋体" w:hAnsi="宋体"/>
                <w:kern w:val="0"/>
                <w:sz w:val="24"/>
                <w:szCs w:val="24"/>
                <w:highlight w:val="none"/>
              </w:rPr>
              <w:t>分，</w:t>
            </w:r>
            <w:r>
              <w:rPr>
                <w:rFonts w:hint="eastAsia" w:ascii="宋体" w:hAnsi="宋体" w:cs="宋体"/>
                <w:bCs/>
                <w:kern w:val="0"/>
                <w:sz w:val="24"/>
                <w:highlight w:val="none"/>
                <w:lang w:bidi="ar"/>
              </w:rPr>
              <w:t>需提供有效认证证书扫描件，否则不得分。</w:t>
            </w:r>
          </w:p>
        </w:tc>
        <w:tc>
          <w:tcPr>
            <w:tcW w:w="699" w:type="dxa"/>
            <w:vAlign w:val="center"/>
          </w:tcPr>
          <w:p>
            <w:pPr>
              <w:widowControl/>
              <w:spacing w:line="360" w:lineRule="auto"/>
              <w:jc w:val="center"/>
              <w:rPr>
                <w:rFonts w:ascii="宋体" w:hAnsi="宋体" w:cs="宋体"/>
                <w:sz w:val="24"/>
                <w:highlight w:val="none"/>
              </w:rPr>
            </w:pPr>
            <w:r>
              <w:rPr>
                <w:rFonts w:ascii="宋体" w:hAnsi="宋体"/>
                <w:kern w:val="0"/>
                <w:sz w:val="24"/>
                <w:highlight w: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widowControl/>
              <w:spacing w:line="360" w:lineRule="auto"/>
              <w:jc w:val="center"/>
              <w:rPr>
                <w:rFonts w:ascii="宋体" w:hAnsi="宋体" w:cs="宋体"/>
                <w:sz w:val="24"/>
                <w:highlight w:val="none"/>
              </w:rPr>
            </w:pPr>
            <w:r>
              <w:rPr>
                <w:rFonts w:hint="eastAsia" w:ascii="宋体" w:hAnsi="宋体"/>
                <w:kern w:val="0"/>
                <w:sz w:val="24"/>
                <w:highlight w:val="none"/>
              </w:rPr>
              <w:t>2-5</w:t>
            </w:r>
          </w:p>
        </w:tc>
        <w:tc>
          <w:tcPr>
            <w:tcW w:w="8730" w:type="dxa"/>
            <w:vAlign w:val="center"/>
          </w:tcPr>
          <w:p>
            <w:pPr>
              <w:widowControl/>
              <w:spacing w:line="360" w:lineRule="auto"/>
              <w:jc w:val="left"/>
              <w:rPr>
                <w:rFonts w:ascii="宋体" w:hAnsi="宋体" w:cs="宋体"/>
                <w:spacing w:val="-8"/>
                <w:sz w:val="24"/>
                <w:highlight w:val="none"/>
              </w:rPr>
            </w:pPr>
            <w:r>
              <w:rPr>
                <w:rFonts w:hint="eastAsia" w:ascii="宋体" w:hAnsi="宋体"/>
                <w:kern w:val="0"/>
                <w:sz w:val="24"/>
                <w:highlight w:val="none"/>
              </w:rPr>
              <w:t>根据磋商响应供应商承诺的质保期进行评分：在满足磋商文件基本要求（1年）的基础上，每增加1年加</w:t>
            </w:r>
            <w:r>
              <w:rPr>
                <w:rFonts w:ascii="宋体" w:hAnsi="宋体"/>
                <w:kern w:val="0"/>
                <w:sz w:val="24"/>
                <w:highlight w:val="none"/>
              </w:rPr>
              <w:t>0.5</w:t>
            </w:r>
            <w:r>
              <w:rPr>
                <w:rFonts w:hint="eastAsia" w:ascii="宋体" w:hAnsi="宋体"/>
                <w:kern w:val="0"/>
                <w:sz w:val="24"/>
                <w:highlight w:val="none"/>
              </w:rPr>
              <w:t>分，满分</w:t>
            </w:r>
            <w:r>
              <w:rPr>
                <w:rFonts w:ascii="宋体" w:hAnsi="宋体"/>
                <w:kern w:val="0"/>
                <w:sz w:val="24"/>
                <w:highlight w:val="none"/>
              </w:rPr>
              <w:t>2</w:t>
            </w:r>
            <w:r>
              <w:rPr>
                <w:rFonts w:hint="eastAsia" w:ascii="宋体" w:hAnsi="宋体"/>
                <w:kern w:val="0"/>
                <w:sz w:val="24"/>
                <w:highlight w:val="none"/>
              </w:rPr>
              <w:t>分。磋商响应供应商须提供相应的书面承诺，否则不得分。</w:t>
            </w:r>
          </w:p>
        </w:tc>
        <w:tc>
          <w:tcPr>
            <w:tcW w:w="699" w:type="dxa"/>
            <w:vAlign w:val="center"/>
          </w:tcPr>
          <w:p>
            <w:pPr>
              <w:widowControl/>
              <w:spacing w:line="360" w:lineRule="auto"/>
              <w:jc w:val="center"/>
              <w:rPr>
                <w:rFonts w:ascii="宋体" w:hAnsi="宋体" w:cs="宋体"/>
                <w:sz w:val="24"/>
                <w:highlight w:val="none"/>
              </w:rPr>
            </w:pPr>
            <w:r>
              <w:rPr>
                <w:rFonts w:ascii="宋体" w:hAnsi="宋体"/>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72" w:type="dxa"/>
            <w:vAlign w:val="center"/>
          </w:tcPr>
          <w:p>
            <w:pPr>
              <w:widowControl/>
              <w:spacing w:line="360" w:lineRule="auto"/>
              <w:jc w:val="center"/>
              <w:rPr>
                <w:rFonts w:ascii="宋体" w:hAnsi="宋体" w:cs="宋体"/>
                <w:sz w:val="24"/>
                <w:highlight w:val="none"/>
              </w:rPr>
            </w:pPr>
            <w:r>
              <w:rPr>
                <w:rFonts w:hint="eastAsia" w:ascii="宋体" w:hAnsi="宋体"/>
                <w:kern w:val="0"/>
                <w:sz w:val="24"/>
                <w:highlight w:val="none"/>
              </w:rPr>
              <w:t>2-6</w:t>
            </w:r>
          </w:p>
        </w:tc>
        <w:tc>
          <w:tcPr>
            <w:tcW w:w="8730" w:type="dxa"/>
            <w:vAlign w:val="center"/>
          </w:tcPr>
          <w:p>
            <w:pPr>
              <w:widowControl/>
              <w:spacing w:line="360" w:lineRule="auto"/>
              <w:jc w:val="left"/>
              <w:rPr>
                <w:rFonts w:ascii="宋体" w:hAnsi="宋体" w:cs="宋体"/>
                <w:sz w:val="24"/>
                <w:highlight w:val="none"/>
              </w:rPr>
            </w:pPr>
            <w:r>
              <w:rPr>
                <w:rFonts w:hint="eastAsia" w:ascii="宋体" w:hAnsi="宋体"/>
                <w:kern w:val="0"/>
                <w:sz w:val="24"/>
                <w:highlight w:val="none"/>
              </w:rPr>
              <w:t>根据磋商响应供应商承诺的交付时间（1</w:t>
            </w:r>
            <w:r>
              <w:rPr>
                <w:rFonts w:ascii="宋体" w:hAnsi="宋体"/>
                <w:kern w:val="0"/>
                <w:sz w:val="24"/>
                <w:highlight w:val="none"/>
              </w:rPr>
              <w:t>0</w:t>
            </w:r>
            <w:r>
              <w:rPr>
                <w:rFonts w:hint="eastAsia" w:ascii="宋体" w:hAnsi="宋体"/>
                <w:kern w:val="0"/>
                <w:sz w:val="24"/>
                <w:highlight w:val="none"/>
              </w:rPr>
              <w:t>0天）进行评分：交付时间每提前5天加0.2分，满分2分。磋商响应供应商须提供相应的书面承诺，否则不得分。</w:t>
            </w:r>
          </w:p>
        </w:tc>
        <w:tc>
          <w:tcPr>
            <w:tcW w:w="699" w:type="dxa"/>
            <w:vAlign w:val="center"/>
          </w:tcPr>
          <w:p>
            <w:pPr>
              <w:widowControl/>
              <w:spacing w:line="360" w:lineRule="auto"/>
              <w:jc w:val="center"/>
              <w:rPr>
                <w:rFonts w:ascii="宋体" w:hAnsi="宋体" w:cs="宋体"/>
                <w:sz w:val="24"/>
                <w:highlight w:val="none"/>
              </w:rPr>
            </w:pPr>
            <w:r>
              <w:rPr>
                <w:rFonts w:ascii="宋体" w:hAnsi="宋体"/>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2" w:type="dxa"/>
            <w:vAlign w:val="center"/>
          </w:tcPr>
          <w:p>
            <w:pPr>
              <w:widowControl/>
              <w:spacing w:line="360" w:lineRule="auto"/>
              <w:jc w:val="center"/>
              <w:rPr>
                <w:rFonts w:ascii="宋体" w:hAnsi="宋体" w:cs="宋体"/>
                <w:sz w:val="24"/>
                <w:highlight w:val="none"/>
              </w:rPr>
            </w:pPr>
            <w:r>
              <w:rPr>
                <w:rFonts w:hint="eastAsia" w:ascii="宋体" w:hAnsi="宋体"/>
                <w:kern w:val="0"/>
                <w:sz w:val="24"/>
                <w:highlight w:val="none"/>
              </w:rPr>
              <w:t>2-7</w:t>
            </w:r>
          </w:p>
        </w:tc>
        <w:tc>
          <w:tcPr>
            <w:tcW w:w="8730" w:type="dxa"/>
            <w:vAlign w:val="center"/>
          </w:tcPr>
          <w:p>
            <w:pPr>
              <w:widowControl/>
              <w:spacing w:line="360" w:lineRule="auto"/>
              <w:jc w:val="left"/>
              <w:rPr>
                <w:rFonts w:ascii="宋体" w:hAnsi="宋体" w:cs="宋体"/>
                <w:sz w:val="24"/>
                <w:highlight w:val="none"/>
              </w:rPr>
            </w:pPr>
            <w:r>
              <w:rPr>
                <w:rFonts w:hint="eastAsia" w:ascii="宋体" w:hAnsi="宋体"/>
                <w:kern w:val="0"/>
                <w:sz w:val="24"/>
                <w:highlight w:val="none"/>
              </w:rPr>
              <w:t>磋商响应供应商可提供厦门市本地化服务的得1分，否则不得分；磋商响应供应商可提供合作单位协议或者自身机构的营业执照证明，也可以提供在本地设立的项目部、办公室、办事处等机构证明，或者承诺成交后提供本地化服务。（承诺无法最终实施的，属于提供虚假材料谋取成交，应承担相应责任）。</w:t>
            </w:r>
          </w:p>
        </w:tc>
        <w:tc>
          <w:tcPr>
            <w:tcW w:w="699" w:type="dxa"/>
            <w:vAlign w:val="center"/>
          </w:tcPr>
          <w:p>
            <w:pPr>
              <w:widowControl/>
              <w:spacing w:line="360" w:lineRule="auto"/>
              <w:jc w:val="center"/>
              <w:rPr>
                <w:rFonts w:ascii="宋体" w:hAnsi="宋体" w:cs="宋体"/>
                <w:sz w:val="24"/>
                <w:highlight w:val="none"/>
              </w:rPr>
            </w:pPr>
            <w:r>
              <w:rPr>
                <w:rFonts w:hint="eastAsia" w:ascii="宋体" w:hAnsi="宋体"/>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772" w:type="dxa"/>
            <w:vAlign w:val="center"/>
          </w:tcPr>
          <w:p>
            <w:pPr>
              <w:widowControl/>
              <w:spacing w:line="360" w:lineRule="auto"/>
              <w:jc w:val="center"/>
              <w:rPr>
                <w:rFonts w:ascii="宋体" w:hAnsi="宋体" w:cs="宋体"/>
                <w:sz w:val="24"/>
                <w:highlight w:val="none"/>
              </w:rPr>
            </w:pPr>
            <w:r>
              <w:rPr>
                <w:rFonts w:hint="eastAsia" w:ascii="宋体" w:hAnsi="宋体"/>
                <w:kern w:val="0"/>
                <w:sz w:val="24"/>
                <w:highlight w:val="none"/>
              </w:rPr>
              <w:t>2-8</w:t>
            </w:r>
          </w:p>
        </w:tc>
        <w:tc>
          <w:tcPr>
            <w:tcW w:w="8730" w:type="dxa"/>
            <w:vAlign w:val="center"/>
          </w:tcPr>
          <w:p>
            <w:pPr>
              <w:widowControl/>
              <w:spacing w:line="360" w:lineRule="auto"/>
              <w:jc w:val="left"/>
              <w:rPr>
                <w:rFonts w:ascii="宋体" w:hAnsi="宋体" w:cs="宋体"/>
                <w:sz w:val="24"/>
                <w:highlight w:val="none"/>
              </w:rPr>
            </w:pPr>
            <w:r>
              <w:rPr>
                <w:rFonts w:hint="eastAsia" w:ascii="宋体" w:hAnsi="宋体"/>
                <w:kern w:val="0"/>
                <w:sz w:val="24"/>
                <w:highlight w:val="none"/>
              </w:rPr>
              <w:t>根据磋商响应供应商提供的售后服务方案进行评价，满足磋商文件售后服务要求，提供了基础的服务方案的得1分；有具体完整的售后服务计划、售后培训（原理、操作、工艺）、售后响应，且对质保外的服务提供完整的服务计划、培训及响应的得2分；未提供方案不得分。</w:t>
            </w:r>
          </w:p>
        </w:tc>
        <w:tc>
          <w:tcPr>
            <w:tcW w:w="699" w:type="dxa"/>
            <w:vAlign w:val="center"/>
          </w:tcPr>
          <w:p>
            <w:pPr>
              <w:widowControl/>
              <w:spacing w:line="360" w:lineRule="auto"/>
              <w:jc w:val="center"/>
              <w:rPr>
                <w:rFonts w:ascii="宋体" w:hAnsi="宋体" w:cs="宋体"/>
                <w:sz w:val="24"/>
                <w:highlight w:val="none"/>
              </w:rPr>
            </w:pPr>
            <w:r>
              <w:rPr>
                <w:rFonts w:hint="eastAsia" w:ascii="宋体" w:hAnsi="宋体"/>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72" w:type="dxa"/>
            <w:vAlign w:val="center"/>
          </w:tcPr>
          <w:p>
            <w:pPr>
              <w:widowControl/>
              <w:spacing w:line="360" w:lineRule="auto"/>
              <w:jc w:val="center"/>
              <w:rPr>
                <w:rFonts w:ascii="宋体" w:hAnsi="宋体" w:cs="宋体"/>
                <w:sz w:val="24"/>
                <w:highlight w:val="none"/>
              </w:rPr>
            </w:pPr>
            <w:r>
              <w:rPr>
                <w:rFonts w:hint="eastAsia" w:ascii="宋体" w:hAnsi="宋体"/>
                <w:kern w:val="0"/>
                <w:sz w:val="24"/>
                <w:highlight w:val="none"/>
              </w:rPr>
              <w:t>2-9</w:t>
            </w:r>
          </w:p>
        </w:tc>
        <w:tc>
          <w:tcPr>
            <w:tcW w:w="8730" w:type="dxa"/>
            <w:vAlign w:val="center"/>
          </w:tcPr>
          <w:p>
            <w:pPr>
              <w:widowControl/>
              <w:spacing w:line="360" w:lineRule="auto"/>
              <w:jc w:val="left"/>
              <w:rPr>
                <w:rFonts w:ascii="宋体" w:hAnsi="宋体" w:cs="宋体"/>
                <w:sz w:val="24"/>
                <w:highlight w:val="none"/>
              </w:rPr>
            </w:pPr>
            <w:r>
              <w:rPr>
                <w:rFonts w:hint="eastAsia" w:ascii="宋体" w:hAnsi="宋体"/>
                <w:kern w:val="0"/>
                <w:sz w:val="24"/>
                <w:highlight w:val="none"/>
              </w:rPr>
              <w:t>根据磋商响应供应商提供近五年(以合同签订时间为准)真空钎焊相关设备业绩的有效证明文件进行评价：每提供1份有效业绩得</w:t>
            </w:r>
            <w:r>
              <w:rPr>
                <w:rFonts w:ascii="宋体" w:hAnsi="宋体"/>
                <w:kern w:val="0"/>
                <w:sz w:val="24"/>
                <w:highlight w:val="none"/>
              </w:rPr>
              <w:t>0.5</w:t>
            </w:r>
            <w:r>
              <w:rPr>
                <w:rFonts w:hint="eastAsia" w:ascii="宋体" w:hAnsi="宋体"/>
                <w:kern w:val="0"/>
                <w:sz w:val="24"/>
                <w:highlight w:val="none"/>
              </w:rPr>
              <w:t>分，满分</w:t>
            </w:r>
            <w:r>
              <w:rPr>
                <w:rFonts w:ascii="宋体" w:hAnsi="宋体"/>
                <w:kern w:val="0"/>
                <w:sz w:val="24"/>
                <w:highlight w:val="none"/>
              </w:rPr>
              <w:t>10</w:t>
            </w:r>
            <w:r>
              <w:rPr>
                <w:rFonts w:hint="eastAsia" w:ascii="宋体" w:hAnsi="宋体"/>
                <w:kern w:val="0"/>
                <w:sz w:val="24"/>
                <w:highlight w:val="none"/>
              </w:rPr>
              <w:t>分。 须提供该业绩项目以下四项完整资料的有效复印件：①中标（成交）公告【提供相关网站中标（成交）公告的下载网页并注明网址】；②中标（成交）通知书；③采购合同文本；④能够证明该业绩项目已经用户单位验收合格的相关证明文件或考核证明。①②③④为必须条件，如未按照磋商文件要求提供该项业绩完整资料的，磋商小组对该项业绩将不予采信。</w:t>
            </w:r>
          </w:p>
        </w:tc>
        <w:tc>
          <w:tcPr>
            <w:tcW w:w="699" w:type="dxa"/>
            <w:vAlign w:val="center"/>
          </w:tcPr>
          <w:p>
            <w:pPr>
              <w:widowControl/>
              <w:spacing w:line="360" w:lineRule="auto"/>
              <w:jc w:val="center"/>
              <w:rPr>
                <w:rFonts w:ascii="宋体" w:hAnsi="宋体" w:cs="宋体"/>
                <w:sz w:val="24"/>
                <w:highlight w:val="none"/>
              </w:rPr>
            </w:pPr>
            <w:r>
              <w:rPr>
                <w:rFonts w:ascii="宋体" w:hAnsi="宋体"/>
                <w:kern w:val="0"/>
                <w:sz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72" w:type="dxa"/>
            <w:vAlign w:val="center"/>
          </w:tcPr>
          <w:p>
            <w:pPr>
              <w:widowControl/>
              <w:spacing w:line="360" w:lineRule="auto"/>
              <w:jc w:val="center"/>
              <w:rPr>
                <w:rFonts w:ascii="宋体" w:hAnsi="宋体"/>
                <w:kern w:val="0"/>
                <w:sz w:val="24"/>
                <w:highlight w:val="none"/>
              </w:rPr>
            </w:pPr>
            <w:r>
              <w:rPr>
                <w:rFonts w:hint="eastAsia" w:ascii="宋体" w:hAnsi="宋体"/>
                <w:kern w:val="0"/>
                <w:sz w:val="24"/>
                <w:highlight w:val="none"/>
              </w:rPr>
              <w:t>2</w:t>
            </w:r>
            <w:r>
              <w:rPr>
                <w:rFonts w:ascii="宋体" w:hAnsi="宋体"/>
                <w:kern w:val="0"/>
                <w:sz w:val="24"/>
                <w:highlight w:val="none"/>
              </w:rPr>
              <w:t>-10</w:t>
            </w:r>
          </w:p>
        </w:tc>
        <w:tc>
          <w:tcPr>
            <w:tcW w:w="8730" w:type="dxa"/>
            <w:vAlign w:val="center"/>
          </w:tcPr>
          <w:p>
            <w:pPr>
              <w:widowControl/>
              <w:spacing w:line="360" w:lineRule="auto"/>
              <w:jc w:val="left"/>
              <w:rPr>
                <w:rFonts w:ascii="宋体" w:hAnsi="宋体"/>
                <w:kern w:val="0"/>
                <w:sz w:val="24"/>
                <w:highlight w:val="none"/>
              </w:rPr>
            </w:pPr>
            <w:r>
              <w:rPr>
                <w:rFonts w:hint="eastAsia" w:ascii="宋体" w:hAnsi="宋体"/>
                <w:kern w:val="0"/>
                <w:sz w:val="24"/>
                <w:highlight w:val="none"/>
              </w:rPr>
              <w:t>根据磋商响应供应商提供真空钎焊炉装置设计所用到的相关专利进行评价：每提供1份授权专利证书得0</w:t>
            </w:r>
            <w:r>
              <w:rPr>
                <w:rFonts w:ascii="宋体" w:hAnsi="宋体"/>
                <w:kern w:val="0"/>
                <w:sz w:val="24"/>
                <w:highlight w:val="none"/>
              </w:rPr>
              <w:t>.5</w:t>
            </w:r>
            <w:r>
              <w:rPr>
                <w:rFonts w:hint="eastAsia" w:ascii="宋体" w:hAnsi="宋体"/>
                <w:kern w:val="0"/>
                <w:sz w:val="24"/>
                <w:highlight w:val="none"/>
              </w:rPr>
              <w:t>分，满分2分。</w:t>
            </w:r>
            <w:r>
              <w:rPr>
                <w:rFonts w:hint="eastAsia" w:ascii="宋体" w:hAnsi="宋体" w:cs="宋体"/>
                <w:bCs/>
                <w:kern w:val="0"/>
                <w:sz w:val="24"/>
                <w:highlight w:val="none"/>
                <w:lang w:bidi="ar"/>
              </w:rPr>
              <w:t>需提供有效认证证书扫描件，否则不得分。</w:t>
            </w:r>
          </w:p>
        </w:tc>
        <w:tc>
          <w:tcPr>
            <w:tcW w:w="699" w:type="dxa"/>
            <w:vAlign w:val="center"/>
          </w:tcPr>
          <w:p>
            <w:pPr>
              <w:widowControl/>
              <w:spacing w:line="360" w:lineRule="auto"/>
              <w:jc w:val="center"/>
              <w:rPr>
                <w:rFonts w:ascii="宋体" w:hAnsi="宋体"/>
                <w:kern w:val="0"/>
                <w:sz w:val="24"/>
                <w:highlight w:val="none"/>
              </w:rPr>
            </w:pPr>
            <w:r>
              <w:rPr>
                <w:rFonts w:ascii="宋体" w:hAnsi="宋体"/>
                <w:kern w:val="0"/>
                <w:sz w:val="24"/>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0201" w:type="dxa"/>
            <w:gridSpan w:val="3"/>
            <w:vAlign w:val="center"/>
          </w:tcPr>
          <w:p>
            <w:pPr>
              <w:widowControl/>
              <w:spacing w:line="360" w:lineRule="auto"/>
              <w:jc w:val="left"/>
              <w:rPr>
                <w:rFonts w:ascii="宋体" w:hAnsi="宋体"/>
                <w:kern w:val="0"/>
                <w:sz w:val="24"/>
                <w:highlight w:val="none"/>
              </w:rPr>
            </w:pPr>
            <w:r>
              <w:rPr>
                <w:rFonts w:hint="eastAsia" w:ascii="宋体" w:hAnsi="宋体"/>
                <w:b/>
                <w:bCs/>
                <w:sz w:val="24"/>
                <w:highlight w:val="none"/>
              </w:rPr>
              <w:t>备注：以上若要求提供证明文件、材料的，均应在提交的材料上加盖磋商响应供应商公章。</w:t>
            </w:r>
          </w:p>
        </w:tc>
      </w:tr>
    </w:tbl>
    <w:p>
      <w:pPr>
        <w:pStyle w:val="32"/>
        <w:widowControl w:val="0"/>
        <w:numPr>
          <w:ilvl w:val="0"/>
          <w:numId w:val="9"/>
        </w:numPr>
        <w:adjustRightInd w:val="0"/>
        <w:spacing w:before="0" w:beforeAutospacing="0" w:after="0" w:afterAutospacing="0" w:line="400" w:lineRule="exact"/>
        <w:jc w:val="both"/>
        <w:outlineLvl w:val="2"/>
        <w:rPr>
          <w:rFonts w:ascii="宋体" w:eastAsia="宋体" w:cs="微软雅黑"/>
          <w:b/>
          <w:bCs/>
          <w:sz w:val="24"/>
          <w:szCs w:val="24"/>
        </w:rPr>
      </w:pPr>
      <w:r>
        <w:rPr>
          <w:rFonts w:hint="eastAsia" w:ascii="宋体" w:eastAsia="宋体" w:cs="微软雅黑"/>
          <w:b/>
          <w:bCs/>
          <w:sz w:val="24"/>
          <w:szCs w:val="24"/>
        </w:rPr>
        <w:t>价格评分F3标准（满分20分）</w:t>
      </w:r>
    </w:p>
    <w:p>
      <w:pPr>
        <w:spacing w:line="360" w:lineRule="auto"/>
        <w:ind w:firstLine="240" w:firstLineChars="100"/>
        <w:outlineLvl w:val="2"/>
        <w:rPr>
          <w:rFonts w:ascii="宋体" w:hAnsi="宋体" w:cs="宋体"/>
          <w:sz w:val="24"/>
        </w:rPr>
      </w:pPr>
      <w:r>
        <w:rPr>
          <w:rFonts w:hint="eastAsia" w:ascii="宋体" w:hAnsi="宋体" w:cs="宋体"/>
          <w:sz w:val="24"/>
        </w:rPr>
        <w:t>3.1评审价</w:t>
      </w:r>
    </w:p>
    <w:p>
      <w:pPr>
        <w:spacing w:line="360" w:lineRule="auto"/>
        <w:outlineLvl w:val="3"/>
        <w:rPr>
          <w:rFonts w:ascii="宋体" w:hAnsi="宋体" w:cs="宋体"/>
          <w:sz w:val="24"/>
        </w:rPr>
      </w:pPr>
      <w:r>
        <w:rPr>
          <w:rFonts w:hint="eastAsia" w:ascii="宋体" w:hAnsi="宋体" w:cs="宋体"/>
          <w:sz w:val="24"/>
        </w:rPr>
        <w:t>(1)算术错误修正</w:t>
      </w:r>
    </w:p>
    <w:p>
      <w:pPr>
        <w:spacing w:line="360" w:lineRule="auto"/>
        <w:outlineLvl w:val="3"/>
        <w:rPr>
          <w:rFonts w:ascii="宋体" w:hAnsi="宋体" w:cs="宋体"/>
          <w:sz w:val="24"/>
        </w:rPr>
      </w:pPr>
      <w:r>
        <w:rPr>
          <w:rFonts w:hint="eastAsia" w:ascii="宋体" w:hAnsi="宋体" w:cs="宋体"/>
          <w:sz w:val="24"/>
        </w:rPr>
        <w:t>(2)漏（缺）项修正：如磋商响应供应商的最后报价存在漏（缺）项的，则以修正后的价格作为计算评审价的依据，对漏（缺）项价格的修正办法详见本章23.3。</w:t>
      </w:r>
    </w:p>
    <w:p>
      <w:pPr>
        <w:spacing w:line="360" w:lineRule="auto"/>
        <w:outlineLvl w:val="3"/>
        <w:rPr>
          <w:rFonts w:ascii="宋体" w:hAnsi="宋体" w:cs="宋体"/>
          <w:sz w:val="24"/>
        </w:rPr>
      </w:pPr>
      <w:r>
        <w:rPr>
          <w:rFonts w:hint="eastAsia" w:ascii="宋体" w:hAnsi="宋体" w:cs="宋体"/>
          <w:sz w:val="24"/>
        </w:rPr>
        <w:t>(3)评审价：评审价是指对供应商最后报价经算术错误修正、漏（缺）项修正，并按规定的折算标准确定的价格。</w:t>
      </w:r>
    </w:p>
    <w:p>
      <w:pPr>
        <w:spacing w:line="360" w:lineRule="auto"/>
        <w:ind w:firstLine="480" w:firstLineChars="200"/>
        <w:outlineLvl w:val="3"/>
        <w:rPr>
          <w:rFonts w:ascii="宋体" w:hAnsi="宋体" w:cs="宋体"/>
          <w:sz w:val="24"/>
        </w:rPr>
      </w:pPr>
      <w:r>
        <w:rPr>
          <w:rFonts w:hint="eastAsia" w:ascii="宋体" w:hAnsi="宋体" w:cs="宋体"/>
          <w:sz w:val="24"/>
        </w:rPr>
        <w:t>评审价＝最后报价±算术错误修正数＋漏（缺）项修正数</w:t>
      </w:r>
    </w:p>
    <w:p>
      <w:pPr>
        <w:spacing w:line="360" w:lineRule="auto"/>
        <w:ind w:firstLine="240" w:firstLineChars="100"/>
        <w:outlineLvl w:val="2"/>
        <w:rPr>
          <w:rFonts w:ascii="宋体" w:hAnsi="宋体" w:cs="宋体"/>
          <w:sz w:val="24"/>
        </w:rPr>
      </w:pPr>
      <w:r>
        <w:rPr>
          <w:rFonts w:hint="eastAsia" w:ascii="宋体" w:hAnsi="宋体" w:cs="宋体"/>
          <w:sz w:val="24"/>
        </w:rPr>
        <w:t>3.2磋商基准价及价格分</w:t>
      </w:r>
    </w:p>
    <w:p>
      <w:pPr>
        <w:spacing w:line="360" w:lineRule="auto"/>
        <w:ind w:firstLine="480" w:firstLineChars="200"/>
        <w:outlineLvl w:val="3"/>
        <w:rPr>
          <w:rFonts w:ascii="宋体" w:hAnsi="宋体" w:cs="宋体"/>
          <w:sz w:val="24"/>
        </w:rPr>
      </w:pPr>
      <w:r>
        <w:rPr>
          <w:rFonts w:hint="eastAsia" w:ascii="宋体" w:hAnsi="宋体" w:cs="宋体"/>
          <w:sz w:val="24"/>
        </w:rPr>
        <w:t>磋商基准价计算方法采用低价优先法，即满足磋商文件要求且评审价最低的评审价作为磋商基准价，其价格分为满分。其他供应商磋商报价得分按下列公式计算：</w:t>
      </w:r>
    </w:p>
    <w:p>
      <w:pPr>
        <w:spacing w:line="360" w:lineRule="auto"/>
        <w:ind w:firstLine="480" w:firstLineChars="200"/>
        <w:rPr>
          <w:rFonts w:ascii="宋体" w:hAnsi="宋体" w:cs="宋体"/>
          <w:sz w:val="24"/>
        </w:rPr>
      </w:pPr>
      <w:r>
        <w:rPr>
          <w:rFonts w:hint="eastAsia" w:ascii="宋体" w:hAnsi="宋体" w:cs="宋体"/>
          <w:sz w:val="24"/>
        </w:rPr>
        <w:t>磋商报价得分F3=磋商基准价/供应商的评审价×</w:t>
      </w:r>
      <w:r>
        <w:rPr>
          <w:rFonts w:ascii="宋体" w:hAnsi="宋体" w:cs="宋体"/>
          <w:sz w:val="24"/>
        </w:rPr>
        <w:t>2</w:t>
      </w:r>
      <w:r>
        <w:rPr>
          <w:rFonts w:hint="eastAsia" w:ascii="宋体" w:hAnsi="宋体" w:cs="宋体"/>
          <w:sz w:val="24"/>
        </w:rPr>
        <w:t>0。</w:t>
      </w:r>
    </w:p>
    <w:p>
      <w:pPr>
        <w:spacing w:line="360" w:lineRule="auto"/>
        <w:ind w:firstLine="240" w:firstLineChars="100"/>
        <w:outlineLvl w:val="2"/>
        <w:rPr>
          <w:rFonts w:ascii="宋体" w:hAnsi="宋体" w:cs="宋体"/>
          <w:sz w:val="24"/>
        </w:rPr>
      </w:pPr>
      <w:r>
        <w:rPr>
          <w:rFonts w:hint="eastAsia" w:ascii="宋体" w:hAnsi="宋体" w:cs="宋体"/>
          <w:sz w:val="24"/>
        </w:rPr>
        <w:t>3.3各初审合格磋商响应供应商综合得分= F1＋F2＋F3。</w:t>
      </w:r>
    </w:p>
    <w:p>
      <w:pPr>
        <w:spacing w:line="360" w:lineRule="auto"/>
        <w:rPr>
          <w:rFonts w:ascii="宋体" w:hAnsi="宋体" w:cs="宋体"/>
          <w:sz w:val="24"/>
        </w:rPr>
      </w:pPr>
      <w:r>
        <w:rPr>
          <w:rFonts w:hint="eastAsia" w:ascii="宋体" w:hAnsi="宋体" w:cs="宋体"/>
          <w:sz w:val="24"/>
        </w:rPr>
        <w:t>说明：</w:t>
      </w:r>
    </w:p>
    <w:p>
      <w:pPr>
        <w:spacing w:line="360" w:lineRule="auto"/>
        <w:rPr>
          <w:rFonts w:ascii="宋体" w:hAnsi="宋体" w:cs="宋体"/>
          <w:sz w:val="24"/>
        </w:rPr>
      </w:pPr>
      <w:r>
        <w:rPr>
          <w:rFonts w:hint="eastAsia" w:ascii="宋体" w:hAnsi="宋体" w:cs="宋体"/>
          <w:sz w:val="24"/>
        </w:rPr>
        <w:t>(1)通过算术平均计算各供应商商务和技术的最终得分。计算供应商最终得分时，经四舍五入后保留两位小数。</w:t>
      </w:r>
    </w:p>
    <w:p>
      <w:pPr>
        <w:spacing w:line="360" w:lineRule="auto"/>
        <w:rPr>
          <w:rFonts w:ascii="宋体" w:hAnsi="宋体" w:cs="宋体"/>
          <w:sz w:val="24"/>
        </w:rPr>
      </w:pPr>
      <w:r>
        <w:rPr>
          <w:rFonts w:hint="eastAsia" w:ascii="宋体" w:hAnsi="宋体" w:cs="宋体"/>
          <w:sz w:val="24"/>
        </w:rPr>
        <w:t>(2)计算技术汇总得分、商务汇总得分及价格分时，经四舍五入后保留两位小数，计算供应商综合得分时，经四舍五入后保留两位小数。</w:t>
      </w:r>
    </w:p>
    <w:p>
      <w:pPr>
        <w:spacing w:line="360" w:lineRule="auto"/>
        <w:ind w:firstLine="240" w:firstLineChars="100"/>
        <w:outlineLvl w:val="2"/>
        <w:rPr>
          <w:rFonts w:ascii="宋体" w:hAnsi="宋体" w:cs="宋体"/>
          <w:sz w:val="24"/>
        </w:rPr>
      </w:pPr>
      <w:r>
        <w:rPr>
          <w:rFonts w:hint="eastAsia" w:ascii="宋体" w:hAnsi="宋体" w:cs="宋体"/>
          <w:sz w:val="24"/>
        </w:rPr>
        <w:t>3.4排名及排名规则：磋商小组根据以下原则对初审合格的供应商进行排名：</w:t>
      </w:r>
    </w:p>
    <w:p>
      <w:pPr>
        <w:spacing w:line="360" w:lineRule="auto"/>
        <w:rPr>
          <w:rFonts w:ascii="宋体" w:hAnsi="宋体" w:cs="宋体"/>
          <w:sz w:val="24"/>
        </w:rPr>
      </w:pPr>
      <w:r>
        <w:rPr>
          <w:rFonts w:hint="eastAsia" w:ascii="宋体" w:hAnsi="宋体" w:cs="宋体"/>
          <w:sz w:val="24"/>
        </w:rPr>
        <w:t>（1）综合得分高者排名在前，即：综合得分最高者排名第一，综合得分次高者排</w:t>
      </w:r>
      <w:bookmarkStart w:id="4" w:name="_GoBack"/>
      <w:bookmarkEnd w:id="4"/>
      <w:r>
        <w:rPr>
          <w:rFonts w:hint="eastAsia" w:ascii="宋体" w:hAnsi="宋体" w:cs="宋体"/>
          <w:sz w:val="24"/>
        </w:rPr>
        <w:t>名第二，以此类推。</w:t>
      </w:r>
    </w:p>
    <w:p>
      <w:pPr>
        <w:spacing w:line="360" w:lineRule="auto"/>
        <w:rPr>
          <w:rFonts w:ascii="宋体" w:hAnsi="宋体" w:cs="宋体"/>
          <w:sz w:val="24"/>
        </w:rPr>
      </w:pPr>
      <w:r>
        <w:rPr>
          <w:rFonts w:hint="eastAsia" w:ascii="宋体" w:hAnsi="宋体" w:cs="宋体"/>
          <w:sz w:val="24"/>
        </w:rPr>
        <w:t>（2）综合得分相同时，评审价低者排名在前；</w:t>
      </w:r>
    </w:p>
    <w:p>
      <w:pPr>
        <w:spacing w:line="360" w:lineRule="auto"/>
        <w:rPr>
          <w:rFonts w:ascii="宋体" w:hAnsi="宋体" w:cs="宋体"/>
          <w:sz w:val="24"/>
        </w:rPr>
      </w:pPr>
      <w:r>
        <w:rPr>
          <w:rFonts w:hint="eastAsia" w:ascii="宋体" w:hAnsi="宋体" w:cs="宋体"/>
          <w:sz w:val="24"/>
        </w:rPr>
        <w:t>（3）综合得分相同且评审价相同时，技术分得分高者（即F1得分高者）排名在前；</w:t>
      </w:r>
    </w:p>
    <w:p>
      <w:pPr>
        <w:spacing w:line="360" w:lineRule="auto"/>
        <w:rPr>
          <w:rFonts w:ascii="宋体" w:hAnsi="宋体" w:cs="宋体"/>
          <w:sz w:val="24"/>
        </w:rPr>
      </w:pPr>
      <w:r>
        <w:rPr>
          <w:rFonts w:hint="eastAsia" w:ascii="宋体" w:hAnsi="宋体" w:cs="宋体"/>
          <w:sz w:val="24"/>
        </w:rPr>
        <w:t>（4）以上办法都不能确定排名时，磋商小组根据售后服务优劣情况确定排名。</w:t>
      </w:r>
    </w:p>
    <w:p>
      <w:pPr>
        <w:spacing w:line="360" w:lineRule="auto"/>
        <w:rPr>
          <w:rFonts w:ascii="宋体" w:hAnsi="宋体"/>
          <w:b/>
          <w:sz w:val="24"/>
        </w:rPr>
      </w:pPr>
      <w:r>
        <w:rPr>
          <w:rFonts w:hint="eastAsia" w:ascii="宋体" w:hAnsi="宋体"/>
          <w:b/>
          <w:sz w:val="24"/>
        </w:rPr>
        <w:t>备注：由于评分主要根据响应文件提供的资料进行，供应商须自行承担由于资料提供不全、错漏、或者无效而导致的不利评审，并对自身提供的响应文件、资料的真实可靠性负责。若因供应商提供的文件资料存在弄虚作假情况，谈判小组有权取消其成交资格。</w:t>
      </w:r>
    </w:p>
    <w:p>
      <w:pPr>
        <w:spacing w:line="360" w:lineRule="auto"/>
        <w:jc w:val="center"/>
        <w:outlineLvl w:val="0"/>
        <w:rPr>
          <w:b/>
          <w:bCs/>
          <w:sz w:val="36"/>
        </w:rPr>
      </w:pPr>
      <w:r>
        <w:br w:type="page"/>
      </w:r>
      <w:r>
        <w:rPr>
          <w:rFonts w:hint="eastAsia"/>
          <w:b/>
          <w:bCs/>
          <w:sz w:val="36"/>
        </w:rPr>
        <w:t>第四章  谈判文件说明</w:t>
      </w:r>
    </w:p>
    <w:p>
      <w:pPr>
        <w:spacing w:line="360" w:lineRule="auto"/>
        <w:outlineLvl w:val="1"/>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outlineLvl w:val="1"/>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报价文件分正本壹份和副本叁份，在每一份报价文件要明确注明“正本”或“副本”字样，若正本和副本有差异，以正本为准。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outlineLvl w:val="1"/>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outlineLvl w:val="1"/>
        <w:rPr>
          <w:rFonts w:asci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sz w:val="24"/>
        </w:rPr>
      </w:pPr>
    </w:p>
    <w:p>
      <w:pPr>
        <w:spacing w:line="360" w:lineRule="auto"/>
        <w:rPr>
          <w:rFonts w:ascii="宋体"/>
          <w:sz w:val="24"/>
        </w:rPr>
      </w:pPr>
    </w:p>
    <w:p>
      <w:pPr>
        <w:spacing w:line="360" w:lineRule="auto"/>
        <w:jc w:val="center"/>
        <w:outlineLvl w:val="0"/>
        <w:rPr>
          <w:rFonts w:ascii="宋体"/>
          <w:sz w:val="24"/>
        </w:rPr>
      </w:pPr>
      <w:r>
        <w:br w:type="page"/>
      </w:r>
      <w:r>
        <w:rPr>
          <w:rFonts w:hint="eastAsia"/>
          <w:b/>
          <w:bCs/>
          <w:sz w:val="36"/>
        </w:rPr>
        <w:t>第五章  谈判文件格式</w:t>
      </w:r>
    </w:p>
    <w:p>
      <w:pPr>
        <w:pStyle w:val="2"/>
      </w:pPr>
      <w:r>
        <w:rPr>
          <w:rFonts w:hint="eastAsia"/>
        </w:rPr>
        <w:t>格式1   报价书</w:t>
      </w:r>
    </w:p>
    <w:p>
      <w:pPr>
        <w:spacing w:line="360" w:lineRule="auto"/>
        <w:rPr>
          <w:rFonts w:ascii="宋体" w:hAnsi="宋体"/>
        </w:rPr>
      </w:pPr>
      <w:r>
        <w:rPr>
          <w:rFonts w:hint="eastAsia" w:ascii="宋体" w:hAnsi="宋体"/>
        </w:rPr>
        <w:t>致嘉庚创新实验室资产采购管理室</w:t>
      </w:r>
    </w:p>
    <w:p>
      <w:pPr>
        <w:spacing w:line="360" w:lineRule="auto"/>
        <w:ind w:firstLine="420" w:firstLineChars="200"/>
        <w:rPr>
          <w:rFonts w:ascii="宋体" w:hAnsi="宋体"/>
        </w:rPr>
      </w:pPr>
      <w:r>
        <w:rPr>
          <w:rFonts w:hint="eastAsia" w:ascii="宋体" w:hAnsi="宋体"/>
        </w:rPr>
        <w:t>根据贵方为（采购编号）招标项目及服务的投标邀请，投标代表（全名、职务），经正式授权并代表投标人（投标人名称）按采购文件规定提交报价文件正本1份和副本3份。</w:t>
      </w:r>
    </w:p>
    <w:p>
      <w:pPr>
        <w:spacing w:line="360" w:lineRule="auto"/>
        <w:ind w:firstLine="420" w:firstLineChars="200"/>
        <w:rPr>
          <w:rFonts w:ascii="宋体" w:hAnsi="宋体"/>
        </w:rPr>
      </w:pPr>
      <w:r>
        <w:rPr>
          <w:rFonts w:hint="eastAsia" w:ascii="宋体" w:hAnsi="宋体"/>
        </w:rPr>
        <w:fldChar w:fldCharType="begin"/>
      </w:r>
      <w:r>
        <w:rPr>
          <w:rFonts w:hint="eastAsia" w:ascii="宋体" w:hAnsi="宋体"/>
        </w:rPr>
        <w:instrText xml:space="preserve"> = 1 \* GB2 </w:instrText>
      </w:r>
      <w:r>
        <w:rPr>
          <w:rFonts w:hint="eastAsia" w:ascii="宋体" w:hAnsi="宋体"/>
        </w:rPr>
        <w:fldChar w:fldCharType="separate"/>
      </w:r>
      <w:r>
        <w:rPr>
          <w:rFonts w:hint="eastAsia" w:ascii="宋体" w:hAnsi="宋体"/>
        </w:rPr>
        <w:t>⑴</w:t>
      </w:r>
      <w:r>
        <w:rPr>
          <w:rFonts w:hint="eastAsia" w:ascii="宋体" w:hAnsi="宋体"/>
        </w:rPr>
        <w:fldChar w:fldCharType="end"/>
      </w:r>
      <w:r>
        <w:rPr>
          <w:rFonts w:hint="eastAsia" w:ascii="宋体" w:hAnsi="宋体"/>
        </w:rPr>
        <w:t>报价书、报价一览表、系统配置清单及报价价格一览表。</w:t>
      </w:r>
    </w:p>
    <w:p>
      <w:pPr>
        <w:spacing w:line="360" w:lineRule="auto"/>
        <w:ind w:firstLine="420" w:firstLineChars="200"/>
        <w:rPr>
          <w:rFonts w:ascii="宋体" w:hAnsi="宋体"/>
        </w:rPr>
      </w:pPr>
      <w:r>
        <w:rPr>
          <w:rFonts w:hint="eastAsia" w:ascii="宋体" w:hAnsi="宋体"/>
        </w:rPr>
        <w:fldChar w:fldCharType="begin"/>
      </w:r>
      <w:r>
        <w:rPr>
          <w:rFonts w:hint="eastAsia" w:ascii="宋体" w:hAnsi="宋体"/>
        </w:rPr>
        <w:instrText xml:space="preserve"> = 2 \* GB2 </w:instrText>
      </w:r>
      <w:r>
        <w:rPr>
          <w:rFonts w:hint="eastAsia" w:ascii="宋体" w:hAnsi="宋体"/>
        </w:rPr>
        <w:fldChar w:fldCharType="separate"/>
      </w:r>
      <w:r>
        <w:rPr>
          <w:rFonts w:hint="eastAsia" w:ascii="宋体" w:hAnsi="宋体"/>
        </w:rPr>
        <w:t>⑵</w:t>
      </w:r>
      <w:r>
        <w:rPr>
          <w:rFonts w:hint="eastAsia" w:ascii="宋体" w:hAnsi="宋体"/>
        </w:rPr>
        <w:fldChar w:fldCharType="end"/>
      </w:r>
      <w:r>
        <w:rPr>
          <w:rFonts w:hint="eastAsia" w:ascii="宋体" w:hAnsi="宋体"/>
        </w:rPr>
        <w:t>资格证明文件</w:t>
      </w:r>
    </w:p>
    <w:p>
      <w:pPr>
        <w:spacing w:line="360" w:lineRule="auto"/>
        <w:ind w:firstLine="420" w:firstLineChars="200"/>
        <w:rPr>
          <w:rFonts w:ascii="宋体"/>
        </w:rPr>
      </w:pPr>
      <w:r>
        <w:rPr>
          <w:rFonts w:ascii="宋体" w:hAnsi="宋体"/>
        </w:rPr>
        <w:fldChar w:fldCharType="begin"/>
      </w:r>
      <w:r>
        <w:rPr>
          <w:rFonts w:ascii="宋体" w:hAnsi="宋体"/>
        </w:rPr>
        <w:instrText xml:space="preserve"> = 3 \* GB2 </w:instrText>
      </w:r>
      <w:r>
        <w:rPr>
          <w:rFonts w:ascii="宋体" w:hAnsi="宋体"/>
        </w:rPr>
        <w:fldChar w:fldCharType="separate"/>
      </w:r>
      <w:r>
        <w:rPr>
          <w:rFonts w:hint="eastAsia" w:ascii="宋体" w:hAnsi="宋体"/>
        </w:rPr>
        <w:t>⑶</w:t>
      </w:r>
      <w:r>
        <w:rPr>
          <w:rFonts w:ascii="宋体" w:hAnsi="宋体"/>
        </w:rPr>
        <w:fldChar w:fldCharType="end"/>
      </w:r>
      <w:r>
        <w:rPr>
          <w:rFonts w:hint="eastAsia" w:ascii="宋体" w:hAnsi="宋体"/>
        </w:rPr>
        <w:t>按投标人须知要求提供的全部文件</w:t>
      </w:r>
    </w:p>
    <w:p>
      <w:pPr>
        <w:spacing w:line="360" w:lineRule="auto"/>
        <w:rPr>
          <w:rFonts w:ascii="宋体"/>
        </w:rPr>
      </w:pPr>
      <w:r>
        <w:rPr>
          <w:rFonts w:hint="eastAsia" w:ascii="宋体" w:hAnsi="宋体"/>
        </w:rPr>
        <w:t>据此函，投标人同意遵守如下条款：</w:t>
      </w:r>
    </w:p>
    <w:p>
      <w:pPr>
        <w:spacing w:line="360" w:lineRule="auto"/>
        <w:rPr>
          <w:rFonts w:ascii="宋体" w:hAnsi="宋体"/>
        </w:rPr>
      </w:pPr>
      <w:r>
        <w:rPr>
          <w:rFonts w:hint="eastAsia" w:ascii="宋体" w:hAnsi="宋体"/>
        </w:rPr>
        <w:t>1、投标人将按采购文件规定履行合同责任和义务。</w:t>
      </w:r>
    </w:p>
    <w:p>
      <w:pPr>
        <w:spacing w:line="360" w:lineRule="auto"/>
        <w:rPr>
          <w:rFonts w:ascii="宋体" w:hAnsi="宋体"/>
        </w:rPr>
      </w:pPr>
      <w:r>
        <w:rPr>
          <w:rFonts w:hint="eastAsia" w:ascii="宋体" w:hAnsi="宋体"/>
        </w:rPr>
        <w:t>2、投标人已详细审查全部采购文件，包括修改文件（如有的话）以及全部参考资料和相关附件。我们完全理解并同意放弃对这方面有不明及误解的权利。</w:t>
      </w:r>
    </w:p>
    <w:p>
      <w:pPr>
        <w:spacing w:line="360" w:lineRule="auto"/>
        <w:rPr>
          <w:rFonts w:ascii="宋体" w:hAnsi="宋体"/>
        </w:rPr>
      </w:pPr>
      <w:r>
        <w:rPr>
          <w:rFonts w:hint="eastAsia" w:ascii="宋体" w:hAnsi="宋体"/>
        </w:rPr>
        <w:t>3、投标自开标之日起有效期为90个日历日。</w:t>
      </w:r>
    </w:p>
    <w:p>
      <w:pPr>
        <w:spacing w:line="360" w:lineRule="auto"/>
        <w:rPr>
          <w:rFonts w:ascii="宋体" w:hAnsi="宋体"/>
        </w:rPr>
      </w:pPr>
      <w:r>
        <w:rPr>
          <w:rFonts w:hint="eastAsia" w:ascii="宋体" w:hAnsi="宋体"/>
        </w:rPr>
        <w:t>4、投标人同意提供按照招标人可能要求的与投标有关的一切数据或资料，完全理解招标人不一定要接受最低价的投标或收到的任何投标。</w:t>
      </w:r>
    </w:p>
    <w:p>
      <w:pPr>
        <w:spacing w:line="360" w:lineRule="auto"/>
        <w:rPr>
          <w:rFonts w:ascii="宋体" w:hAnsi="宋体"/>
        </w:rPr>
      </w:pPr>
      <w:r>
        <w:rPr>
          <w:rFonts w:hint="eastAsia" w:ascii="宋体" w:hAnsi="宋体"/>
        </w:rPr>
        <w:t>5、与采购有关的一切正式往来通讯，请寄：</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 name="直接连接符 10"/>
                <wp:cNvGraphicFramePr/>
                <a:graphic xmlns:a="http://schemas.openxmlformats.org/drawingml/2006/main">
                  <a:graphicData uri="http://schemas.microsoft.com/office/word/2010/wordprocessingShape">
                    <wps:wsp>
                      <wps:cNvCnPr>
                        <a:cxnSpLocks noChangeShapeType="1"/>
                      </wps:cNvCnPr>
                      <wps:spPr>
                        <a:xfrm>
                          <a:off x="0" y="0"/>
                          <a:ext cx="1533525" cy="0"/>
                        </a:xfrm>
                        <a:prstGeom prst="line">
                          <a:avLst/>
                        </a:prstGeom>
                        <a:ln w="9525">
                          <a:solidFill>
                            <a:srgbClr val="000000"/>
                          </a:solidFill>
                        </a:ln>
                      </wps:spPr>
                      <wps:bodyPr/>
                    </wps:wsp>
                  </a:graphicData>
                </a:graphic>
              </wp:anchor>
            </w:drawing>
          </mc:Choice>
          <mc:Fallback>
            <w:pict>
              <v:line id="直接连接符 10" o:spid="_x0000_s1026" o:spt="20" style="position:absolute;left:0pt;margin-left:258.75pt;margin-top:13.25pt;height:0pt;width:120.75pt;z-index:25165926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E4PHbXAAAACQEAAA8AAAAAAAAAAQAgAAAAIgAAAGRy&#10;cy9kb3ducmV2LnhtbFBLAQIUABQAAAAIAIdO4kBhWQmqzQEAAIgDAAAOAAAAAAAAAAEAIAAAACYB&#10;AABkcnMvZTJvRG9jLnhtbFBLBQYAAAAABgAGAFkBAABl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3" name="直接连接符 9"/>
                <wp:cNvGraphicFramePr/>
                <a:graphic xmlns:a="http://schemas.openxmlformats.org/drawingml/2006/main">
                  <a:graphicData uri="http://schemas.microsoft.com/office/word/2010/wordprocessingShape">
                    <wps:wsp>
                      <wps:cNvCnPr>
                        <a:cxnSpLocks noChangeShapeType="1"/>
                      </wps:cNvCnPr>
                      <wps:spPr>
                        <a:xfrm>
                          <a:off x="0" y="0"/>
                          <a:ext cx="1533525" cy="0"/>
                        </a:xfrm>
                        <a:prstGeom prst="line">
                          <a:avLst/>
                        </a:prstGeom>
                        <a:ln w="9525">
                          <a:solidFill>
                            <a:srgbClr val="000000"/>
                          </a:solidFill>
                        </a:ln>
                      </wps:spPr>
                      <wps:bodyPr/>
                    </wps:wsp>
                  </a:graphicData>
                </a:graphic>
              </wp:anchor>
            </w:drawing>
          </mc:Choice>
          <mc:Fallback>
            <w:pict>
              <v:line id="直接连接符 9" o:spid="_x0000_s1026" o:spt="20" style="position:absolute;left:0pt;margin-left:60pt;margin-top:14.3pt;height:0pt;width:120.75pt;z-index:25166028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zqbg21QAAAAkBAAAPAAAAAAAAAAEAIAAAACIAAABkcnMv&#10;ZG93bnJldi54bWxQSwECFAAUAAAACACHTuJAt+GxUs0BAACHAwAADgAAAAAAAAABACAAAAAkAQAA&#10;ZHJzL2Uyb0RvYy54bWxQSwUGAAAAAAYABgBZAQAAYwUAAAAA&#10;">
                <v:fill on="f" focussize="0,0"/>
                <v:stroke color="#000000" joinstyle="round"/>
                <v:imagedata o:title=""/>
                <o:lock v:ext="edit" aspectratio="f"/>
              </v:line>
            </w:pict>
          </mc:Fallback>
        </mc:AlternateContent>
      </w:r>
      <w:r>
        <w:rPr>
          <w:rFonts w:hint="eastAsia" w:ascii="宋体" w:hAnsi="宋体"/>
        </w:rPr>
        <w:t>地址：邮编：</w:t>
      </w:r>
    </w:p>
    <w:p>
      <w:pPr>
        <w:spacing w:line="360" w:lineRule="auto"/>
        <w:rPr>
          <w:rFonts w:ascii="宋体"/>
        </w:rPr>
      </w:pPr>
      <w:r>
        <mc:AlternateContent>
          <mc:Choice Requires="wps">
            <w:drawing>
              <wp:anchor distT="0" distB="0" distL="114300" distR="114300" simplePos="0" relativeHeight="251661312"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5" name="直接连接符 8"/>
                <wp:cNvGraphicFramePr/>
                <a:graphic xmlns:a="http://schemas.openxmlformats.org/drawingml/2006/main">
                  <a:graphicData uri="http://schemas.microsoft.com/office/word/2010/wordprocessingShape">
                    <wps:wsp>
                      <wps:cNvCnPr>
                        <a:cxnSpLocks noChangeShapeType="1"/>
                      </wps:cNvCnPr>
                      <wps:spPr>
                        <a:xfrm>
                          <a:off x="0" y="0"/>
                          <a:ext cx="1533525" cy="0"/>
                        </a:xfrm>
                        <a:prstGeom prst="line">
                          <a:avLst/>
                        </a:prstGeom>
                        <a:ln w="9525">
                          <a:solidFill>
                            <a:srgbClr val="000000"/>
                          </a:solidFill>
                        </a:ln>
                      </wps:spPr>
                      <wps:bodyPr/>
                    </wps:wsp>
                  </a:graphicData>
                </a:graphic>
              </wp:anchor>
            </w:drawing>
          </mc:Choice>
          <mc:Fallback>
            <w:pict>
              <v:line id="直接连接符 8" o:spid="_x0000_s1026" o:spt="20" style="position:absolute;left:0pt;margin-left:260.25pt;margin-top:13.55pt;height:0pt;width:120.75pt;z-index:25166131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7bywtNYAAAAJAQAADwAAAAAAAAABACAAAAAiAAAAZHJz&#10;L2Rvd25yZXYueG1sUEsBAhQAFAAAAAgAh07iQHyDHOXNAQAAhwMAAA4AAAAAAAAAAQAgAAAAJQEA&#10;AGRycy9lMm9Eb2MueG1sUEsFBgAAAAAGAAYAWQEAAGQ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a:xfrm>
                          <a:off x="0" y="0"/>
                          <a:ext cx="1533525" cy="0"/>
                        </a:xfrm>
                        <a:prstGeom prst="line">
                          <a:avLst/>
                        </a:prstGeom>
                        <a:ln w="9525">
                          <a:solidFill>
                            <a:srgbClr val="000000"/>
                          </a:solidFill>
                        </a:ln>
                      </wps:spPr>
                      <wps:bodyPr/>
                    </wps:wsp>
                  </a:graphicData>
                </a:graphic>
              </wp:anchor>
            </w:drawing>
          </mc:Choice>
          <mc:Fallback>
            <w:pict>
              <v:line id="_x0000_s1026" o:spid="_x0000_s1026" o:spt="20" style="position:absolute;left:0pt;margin-left:61.5pt;margin-top:12.8pt;height:0pt;width:120.75pt;z-index:25166233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DRFitYAAAAJAQAADwAAAAAAAAABACAAAAAiAAAAZHJz&#10;L2Rvd25yZXYueG1sUEsBAhQAFAAAAAgAh07iQHjuhNDNAQAAhwMAAA4AAAAAAAAAAQAgAAAAJQEA&#10;AGRycy9lMm9Eb2MueG1sUEsFBgAAAAAGAAYAWQEAAGQFAAAAAA==&#10;">
                <v:fill on="f" focussize="0,0"/>
                <v:stroke color="#000000" joinstyle="round"/>
                <v:imagedata o:title=""/>
                <o:lock v:ext="edit" aspectratio="f"/>
              </v:line>
            </w:pict>
          </mc:Fallback>
        </mc:AlternateContent>
      </w:r>
      <w:r>
        <w:rPr>
          <w:rFonts w:hint="eastAsia" w:ascii="宋体" w:hAnsi="宋体"/>
        </w:rPr>
        <w:t>电话：传真：</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63360" behindDoc="0" locked="0" layoutInCell="1" allowOverlap="1">
                <wp:simplePos x="0" y="0"/>
                <wp:positionH relativeFrom="column">
                  <wp:posOffset>1999615</wp:posOffset>
                </wp:positionH>
                <wp:positionV relativeFrom="paragraph">
                  <wp:posOffset>169545</wp:posOffset>
                </wp:positionV>
                <wp:extent cx="3105785" cy="3810"/>
                <wp:effectExtent l="0" t="0" r="0" b="0"/>
                <wp:wrapNone/>
                <wp:docPr id="9" name="直接连接符 6"/>
                <wp:cNvGraphicFramePr/>
                <a:graphic xmlns:a="http://schemas.openxmlformats.org/drawingml/2006/main">
                  <a:graphicData uri="http://schemas.microsoft.com/office/word/2010/wordprocessingShape">
                    <wps:wsp>
                      <wps:cNvCnPr>
                        <a:cxnSpLocks noChangeShapeType="1"/>
                      </wps:cNvCnPr>
                      <wps:spPr>
                        <a:xfrm flipV="1">
                          <a:off x="0" y="0"/>
                          <a:ext cx="3105785" cy="3810"/>
                        </a:xfrm>
                        <a:prstGeom prst="line">
                          <a:avLst/>
                        </a:prstGeom>
                        <a:ln w="9525">
                          <a:solidFill>
                            <a:srgbClr val="000000"/>
                          </a:solidFill>
                        </a:ln>
                      </wps:spPr>
                      <wps:bodyPr/>
                    </wps:wsp>
                  </a:graphicData>
                </a:graphic>
              </wp:anchor>
            </w:drawing>
          </mc:Choice>
          <mc:Fallback>
            <w:pict>
              <v:line id="直接连接符 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5kdodgAAAAJAQAADwAAAAAA&#10;AAABACAAAAAiAAAAZHJzL2Rvd25yZXYueG1sUEsBAhQAFAAAAAgAh07iQEyIe5DaAQAAlAMAAA4A&#10;AAAAAAAAAQAgAAAAJwEAAGRycy9lMm9Eb2MueG1sUEsFBgAAAAAGAAYAWQEAAHMFAAAAAA==&#10;">
                <v:fill on="f" focussize="0,0"/>
                <v:stroke color="#000000" joinstyle="round"/>
                <v:imagedata o:title=""/>
                <o:lock v:ext="edit" aspectratio="f"/>
              </v:line>
            </w:pict>
          </mc:Fallback>
        </mc:AlternateContent>
      </w:r>
      <w:r>
        <w:rPr>
          <w:rFonts w:hint="eastAsia" w:ascii="宋体" w:hAnsi="宋体"/>
        </w:rPr>
        <w:t>投标代表姓名，职务</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64384" behindDoc="0" locked="0" layoutInCell="1" allowOverlap="1">
                <wp:simplePos x="0" y="0"/>
                <wp:positionH relativeFrom="column">
                  <wp:posOffset>2028190</wp:posOffset>
                </wp:positionH>
                <wp:positionV relativeFrom="paragraph">
                  <wp:posOffset>148590</wp:posOffset>
                </wp:positionV>
                <wp:extent cx="3105785" cy="3810"/>
                <wp:effectExtent l="0" t="0" r="0" b="0"/>
                <wp:wrapNone/>
                <wp:docPr id="11" name="直接连接符 5"/>
                <wp:cNvGraphicFramePr/>
                <a:graphic xmlns:a="http://schemas.openxmlformats.org/drawingml/2006/main">
                  <a:graphicData uri="http://schemas.microsoft.com/office/word/2010/wordprocessingShape">
                    <wps:wsp>
                      <wps:cNvCnPr>
                        <a:cxnSpLocks noChangeShapeType="1"/>
                      </wps:cNvCnPr>
                      <wps:spPr>
                        <a:xfrm flipV="1">
                          <a:off x="0" y="0"/>
                          <a:ext cx="3105785" cy="3810"/>
                        </a:xfrm>
                        <a:prstGeom prst="line">
                          <a:avLst/>
                        </a:prstGeom>
                        <a:ln w="9525">
                          <a:solidFill>
                            <a:srgbClr val="000000"/>
                          </a:solidFill>
                        </a:ln>
                      </wps:spPr>
                      <wps:bodyPr/>
                    </wps:wsp>
                  </a:graphicData>
                </a:graphic>
              </wp:anchor>
            </w:drawing>
          </mc:Choice>
          <mc:Fallback>
            <w:pict>
              <v:line id="直接连接符 5"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coXd9cAAAAJAQAADwAAAAAA&#10;AAABACAAAAAiAAAAZHJzL2Rvd25yZXYueG1sUEsBAhQAFAAAAAgAh07iQA7cNqTbAQAAlQMAAA4A&#10;AAAAAAAAAQAgAAAAJgEAAGRycy9lMm9Eb2MueG1sUEsFBgAAAAAGAAYAWQEAAHMFAAAAAA==&#10;">
                <v:fill on="f" focussize="0,0"/>
                <v:stroke color="#000000" joinstyle="round"/>
                <v:imagedata o:title=""/>
                <o:lock v:ext="edit" aspectratio="f"/>
              </v:line>
            </w:pict>
          </mc:Fallback>
        </mc:AlternateContent>
      </w:r>
      <w:r>
        <w:rPr>
          <w:rFonts w:hint="eastAsia" w:ascii="宋体" w:hAnsi="宋体"/>
        </w:rPr>
        <w:t>投标人全称（加盖公章）</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64384"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13" name="直接连接符 4"/>
                <wp:cNvGraphicFramePr/>
                <a:graphic xmlns:a="http://schemas.openxmlformats.org/drawingml/2006/main">
                  <a:graphicData uri="http://schemas.microsoft.com/office/word/2010/wordprocessingShape">
                    <wps:wsp>
                      <wps:cNvCnPr>
                        <a:cxnSpLocks noChangeShapeType="1"/>
                      </wps:cNvCnPr>
                      <wps:spPr>
                        <a:xfrm>
                          <a:off x="0" y="0"/>
                          <a:ext cx="733425" cy="0"/>
                        </a:xfrm>
                        <a:prstGeom prst="line">
                          <a:avLst/>
                        </a:prstGeom>
                        <a:ln w="9525">
                          <a:solidFill>
                            <a:srgbClr val="000000"/>
                          </a:solidFill>
                        </a:ln>
                      </wps:spPr>
                      <wps:bodyPr/>
                    </wps:wsp>
                  </a:graphicData>
                </a:graphic>
              </wp:anchor>
            </w:drawing>
          </mc:Choice>
          <mc:Fallback>
            <w:pict>
              <v:line id="直接连接符 4" o:spid="_x0000_s1026" o:spt="20" style="position:absolute;left:0pt;margin-left:150.75pt;margin-top:14.75pt;height:0pt;width:57.75pt;z-index:25166438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h201XWAAAACQEAAA8AAAAAAAAAAQAgAAAAIgAAAGRy&#10;cy9kb3ducmV2LnhtbFBLAQIUABQAAAAIAIdO4kC+Yr1GzgEAAIcDAAAOAAAAAAAAAAEAIAAAACUB&#10;AABkcnMvZTJvRG9jLnhtbFBLBQYAAAAABgAGAFkBAABl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15" name="直接连接符 3"/>
                <wp:cNvGraphicFramePr/>
                <a:graphic xmlns:a="http://schemas.openxmlformats.org/drawingml/2006/main">
                  <a:graphicData uri="http://schemas.microsoft.com/office/word/2010/wordprocessingShape">
                    <wps:wsp>
                      <wps:cNvCnPr>
                        <a:cxnSpLocks noChangeShapeType="1"/>
                      </wps:cNvCnPr>
                      <wps:spPr>
                        <a:xfrm>
                          <a:off x="0" y="0"/>
                          <a:ext cx="733425" cy="0"/>
                        </a:xfrm>
                        <a:prstGeom prst="line">
                          <a:avLst/>
                        </a:prstGeom>
                        <a:ln w="9525">
                          <a:solidFill>
                            <a:srgbClr val="000000"/>
                          </a:solidFill>
                        </a:ln>
                      </wps:spPr>
                      <wps:bodyPr/>
                    </wps:wsp>
                  </a:graphicData>
                </a:graphic>
              </wp:anchor>
            </w:drawing>
          </mc:Choice>
          <mc:Fallback>
            <w:pict>
              <v:line id="直接连接符 3" o:spid="_x0000_s1026" o:spt="20" style="position:absolute;left:0pt;margin-left:73.5pt;margin-top:13.7pt;height:0pt;width:57.75pt;z-index:25166540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9rtHtYAAAAJAQAADwAAAAAAAAABACAAAAAiAAAAZHJz&#10;L2Rvd25yZXYueG1sUEsBAhQAFAAAAAgAh07iQJHxDTXNAQAAhwMAAA4AAAAAAAAAAQAgAAAAJQEA&#10;AGRycy9lMm9Eb2MueG1sUEsFBgAAAAAGAAYAWQEAAGQ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17" name="直接连接符 11"/>
                <wp:cNvGraphicFramePr/>
                <a:graphic xmlns:a="http://schemas.openxmlformats.org/drawingml/2006/main">
                  <a:graphicData uri="http://schemas.microsoft.com/office/word/2010/wordprocessingShape">
                    <wps:wsp>
                      <wps:cNvCnPr>
                        <a:cxnSpLocks noChangeShapeType="1"/>
                      </wps:cNvCnPr>
                      <wps:spPr>
                        <a:xfrm>
                          <a:off x="0" y="0"/>
                          <a:ext cx="733425" cy="0"/>
                        </a:xfrm>
                        <a:prstGeom prst="line">
                          <a:avLst/>
                        </a:prstGeom>
                        <a:ln w="9525">
                          <a:solidFill>
                            <a:srgbClr val="000000"/>
                          </a:solidFill>
                        </a:ln>
                      </wps:spPr>
                      <wps:bodyPr/>
                    </wps:wsp>
                  </a:graphicData>
                </a:graphic>
              </wp:anchor>
            </w:drawing>
          </mc:Choice>
          <mc:Fallback>
            <w:pict>
              <v:line id="直接连接符 11" o:spid="_x0000_s1026" o:spt="20" style="position:absolute;left:0pt;margin-left:236.25pt;margin-top:14.3pt;height:0pt;width:57.75pt;z-index:25166643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TPN9HXAAAACQEAAA8AAAAAAAAAAQAgAAAAIgAA&#10;AGRycy9kb3ducmV2LnhtbFBLAQIUABQAAAAIAIdO4kD/K+Gs0AEAAIgDAAAOAAAAAAAAAAEAIAAA&#10;ACYBAABkcnMvZTJvRG9jLnhtbFBLBQYAAAAABgAGAFkBAABoBQAAAAA=&#10;">
                <v:fill on="f" focussize="0,0"/>
                <v:stroke color="#000000" joinstyle="round"/>
                <v:imagedata o:title=""/>
                <o:lock v:ext="edit" aspectratio="f"/>
              </v:line>
            </w:pict>
          </mc:Fallback>
        </mc:AlternateContent>
      </w:r>
      <w:r>
        <w:rPr>
          <w:rFonts w:hint="eastAsia" w:ascii="宋体" w:hAnsi="宋体"/>
        </w:rPr>
        <w:t>日期年月日</w:t>
      </w:r>
    </w:p>
    <w:p>
      <w:pPr>
        <w:spacing w:line="360" w:lineRule="auto"/>
        <w:rPr>
          <w:rFonts w:ascii="宋体"/>
          <w:b/>
          <w:kern w:val="44"/>
          <w:sz w:val="32"/>
          <w:szCs w:val="20"/>
        </w:rPr>
      </w:pPr>
    </w:p>
    <w:p>
      <w:pPr>
        <w:spacing w:line="360" w:lineRule="auto"/>
        <w:rPr>
          <w:rFonts w:ascii="宋体"/>
          <w:b/>
          <w:kern w:val="44"/>
          <w:sz w:val="32"/>
          <w:szCs w:val="20"/>
        </w:rPr>
      </w:pPr>
    </w:p>
    <w:p>
      <w:pPr>
        <w:pStyle w:val="2"/>
      </w:pPr>
      <w:r>
        <w:rPr>
          <w:rFonts w:hint="eastAsia"/>
        </w:rPr>
        <w:t>格式2   报价一览表</w:t>
      </w:r>
    </w:p>
    <w:p>
      <w:pPr>
        <w:spacing w:line="360" w:lineRule="auto"/>
        <w:rPr>
          <w:rFonts w:ascii="宋体"/>
          <w:sz w:val="30"/>
        </w:rPr>
      </w:pPr>
      <w:r>
        <w:rPr>
          <w:rFonts w:hint="eastAsia" w:ascii="宋体" w:hAnsi="宋体"/>
          <w:sz w:val="30"/>
        </w:rPr>
        <w:t>投标人全称（加盖公章）</w:t>
      </w:r>
    </w:p>
    <w:p>
      <w:pPr>
        <w:tabs>
          <w:tab w:val="left" w:pos="3570"/>
        </w:tabs>
        <w:spacing w:line="360" w:lineRule="auto"/>
        <w:ind w:right="-21" w:rightChars="-10"/>
        <w:rPr>
          <w:rFonts w:ascii="宋体"/>
          <w:sz w:val="30"/>
        </w:rPr>
      </w:pPr>
      <w:r>
        <w:rPr>
          <w:rFonts w:hint="eastAsia" w:ascii="宋体" w:hAnsi="宋体"/>
          <w:sz w:val="30"/>
        </w:rPr>
        <w:t>采购编号：</w:t>
      </w:r>
    </w:p>
    <w:tbl>
      <w:tblPr>
        <w:tblStyle w:val="19"/>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rPr>
            </w:pPr>
            <w:r>
              <w:rPr>
                <w:rFonts w:hint="eastAsia" w:ascii="宋体" w:hAnsi="宋体"/>
              </w:rPr>
              <w:t>合同包</w:t>
            </w:r>
          </w:p>
        </w:tc>
        <w:tc>
          <w:tcPr>
            <w:tcW w:w="1412" w:type="dxa"/>
            <w:vAlign w:val="center"/>
          </w:tcPr>
          <w:p>
            <w:pPr>
              <w:tabs>
                <w:tab w:val="left" w:pos="3570"/>
              </w:tabs>
              <w:spacing w:line="360" w:lineRule="auto"/>
              <w:ind w:right="-21" w:rightChars="-10"/>
              <w:jc w:val="center"/>
              <w:rPr>
                <w:rFonts w:ascii="宋体"/>
              </w:rPr>
            </w:pPr>
            <w:r>
              <w:rPr>
                <w:rFonts w:hint="eastAsia" w:ascii="宋体" w:hAnsi="宋体"/>
              </w:rPr>
              <w:t>货物名称</w:t>
            </w:r>
          </w:p>
        </w:tc>
        <w:tc>
          <w:tcPr>
            <w:tcW w:w="2266" w:type="dxa"/>
            <w:vAlign w:val="center"/>
          </w:tcPr>
          <w:p>
            <w:pPr>
              <w:tabs>
                <w:tab w:val="left" w:pos="3570"/>
              </w:tabs>
              <w:spacing w:line="360" w:lineRule="auto"/>
              <w:ind w:right="-21" w:rightChars="-10"/>
              <w:jc w:val="center"/>
              <w:rPr>
                <w:rFonts w:ascii="宋体"/>
              </w:rPr>
            </w:pPr>
            <w:r>
              <w:rPr>
                <w:rFonts w:hint="eastAsia" w:ascii="宋体" w:hAnsi="宋体"/>
              </w:rPr>
              <w:t>型号规格</w:t>
            </w:r>
          </w:p>
          <w:p>
            <w:pPr>
              <w:tabs>
                <w:tab w:val="left" w:pos="3570"/>
              </w:tabs>
              <w:spacing w:line="360" w:lineRule="auto"/>
              <w:ind w:right="-21" w:rightChars="-10"/>
              <w:jc w:val="center"/>
              <w:rPr>
                <w:rFonts w:ascii="宋体"/>
              </w:rPr>
            </w:pPr>
            <w:r>
              <w:rPr>
                <w:rFonts w:hint="eastAsia" w:ascii="宋体" w:hAnsi="宋体"/>
              </w:rPr>
              <w:t>制造商</w:t>
            </w:r>
          </w:p>
        </w:tc>
        <w:tc>
          <w:tcPr>
            <w:tcW w:w="1027" w:type="dxa"/>
            <w:vAlign w:val="center"/>
          </w:tcPr>
          <w:p>
            <w:pPr>
              <w:tabs>
                <w:tab w:val="left" w:pos="3570"/>
              </w:tabs>
              <w:spacing w:line="360" w:lineRule="auto"/>
              <w:ind w:right="-21" w:rightChars="-10"/>
              <w:jc w:val="center"/>
              <w:rPr>
                <w:rFonts w:ascii="宋体"/>
              </w:rPr>
            </w:pPr>
            <w:r>
              <w:rPr>
                <w:rFonts w:hint="eastAsia" w:ascii="宋体" w:hAnsi="宋体"/>
              </w:rPr>
              <w:t>数量</w:t>
            </w:r>
          </w:p>
        </w:tc>
        <w:tc>
          <w:tcPr>
            <w:tcW w:w="1043" w:type="dxa"/>
            <w:vAlign w:val="center"/>
          </w:tcPr>
          <w:p>
            <w:pPr>
              <w:tabs>
                <w:tab w:val="left" w:pos="3570"/>
              </w:tabs>
              <w:spacing w:line="360" w:lineRule="auto"/>
              <w:ind w:right="-21" w:rightChars="-10"/>
              <w:jc w:val="center"/>
              <w:rPr>
                <w:rFonts w:ascii="宋体"/>
              </w:rPr>
            </w:pPr>
            <w:r>
              <w:rPr>
                <w:rFonts w:hint="eastAsia" w:ascii="宋体" w:hAnsi="宋体"/>
              </w:rPr>
              <w:t>单价</w:t>
            </w:r>
          </w:p>
        </w:tc>
        <w:tc>
          <w:tcPr>
            <w:tcW w:w="1043" w:type="dxa"/>
            <w:vAlign w:val="center"/>
          </w:tcPr>
          <w:p>
            <w:pPr>
              <w:tabs>
                <w:tab w:val="left" w:pos="3570"/>
              </w:tabs>
              <w:spacing w:line="360" w:lineRule="auto"/>
              <w:ind w:right="-21" w:rightChars="-10"/>
              <w:jc w:val="center"/>
              <w:rPr>
                <w:rFonts w:ascii="宋体"/>
              </w:rPr>
            </w:pPr>
            <w:r>
              <w:rPr>
                <w:rFonts w:hint="eastAsia" w:ascii="宋体" w:hAnsi="宋体"/>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rPr>
            </w:pPr>
          </w:p>
        </w:tc>
        <w:tc>
          <w:tcPr>
            <w:tcW w:w="2266" w:type="dxa"/>
            <w:vAlign w:val="center"/>
          </w:tcPr>
          <w:p>
            <w:pPr>
              <w:tabs>
                <w:tab w:val="left" w:pos="3570"/>
              </w:tabs>
              <w:spacing w:line="360" w:lineRule="auto"/>
              <w:ind w:right="-21" w:rightChars="-10"/>
              <w:jc w:val="center"/>
              <w:rPr>
                <w:rFonts w:ascii="宋体"/>
              </w:rPr>
            </w:pPr>
          </w:p>
        </w:tc>
        <w:tc>
          <w:tcPr>
            <w:tcW w:w="1027" w:type="dxa"/>
            <w:vAlign w:val="center"/>
          </w:tcPr>
          <w:p>
            <w:pPr>
              <w:tabs>
                <w:tab w:val="left" w:pos="3570"/>
              </w:tabs>
              <w:spacing w:line="360" w:lineRule="auto"/>
              <w:ind w:right="-21" w:rightChars="-10"/>
              <w:jc w:val="center"/>
              <w:rPr>
                <w:rFonts w:ascii="宋体"/>
              </w:rPr>
            </w:pPr>
          </w:p>
        </w:tc>
        <w:tc>
          <w:tcPr>
            <w:tcW w:w="1043" w:type="dxa"/>
            <w:vAlign w:val="center"/>
          </w:tcPr>
          <w:p>
            <w:pPr>
              <w:tabs>
                <w:tab w:val="left" w:pos="3570"/>
              </w:tabs>
              <w:spacing w:line="360" w:lineRule="auto"/>
              <w:ind w:right="-21" w:rightChars="-10"/>
              <w:jc w:val="center"/>
              <w:rPr>
                <w:rFonts w:ascii="宋体"/>
              </w:rPr>
            </w:pPr>
          </w:p>
        </w:tc>
        <w:tc>
          <w:tcPr>
            <w:tcW w:w="1043" w:type="dxa"/>
            <w:vAlign w:val="center"/>
          </w:tcPr>
          <w:p>
            <w:pPr>
              <w:tabs>
                <w:tab w:val="left" w:pos="3570"/>
              </w:tabs>
              <w:spacing w:line="360" w:lineRule="auto"/>
              <w:ind w:right="-21" w:rightChars="-1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rPr>
            </w:pPr>
          </w:p>
        </w:tc>
        <w:tc>
          <w:tcPr>
            <w:tcW w:w="1412" w:type="dxa"/>
            <w:vAlign w:val="center"/>
          </w:tcPr>
          <w:p>
            <w:pPr>
              <w:tabs>
                <w:tab w:val="left" w:pos="3570"/>
              </w:tabs>
              <w:spacing w:line="360" w:lineRule="auto"/>
              <w:ind w:right="-21" w:rightChars="-10"/>
              <w:jc w:val="center"/>
              <w:rPr>
                <w:rFonts w:ascii="宋体"/>
              </w:rPr>
            </w:pPr>
          </w:p>
        </w:tc>
        <w:tc>
          <w:tcPr>
            <w:tcW w:w="2266" w:type="dxa"/>
            <w:vAlign w:val="center"/>
          </w:tcPr>
          <w:p>
            <w:pPr>
              <w:tabs>
                <w:tab w:val="left" w:pos="3570"/>
              </w:tabs>
              <w:spacing w:line="360" w:lineRule="auto"/>
              <w:ind w:right="-21" w:rightChars="-10"/>
              <w:jc w:val="center"/>
              <w:rPr>
                <w:rFonts w:ascii="宋体"/>
              </w:rPr>
            </w:pPr>
          </w:p>
        </w:tc>
        <w:tc>
          <w:tcPr>
            <w:tcW w:w="1027" w:type="dxa"/>
            <w:vAlign w:val="center"/>
          </w:tcPr>
          <w:p>
            <w:pPr>
              <w:tabs>
                <w:tab w:val="left" w:pos="3570"/>
              </w:tabs>
              <w:spacing w:line="360" w:lineRule="auto"/>
              <w:ind w:right="-21" w:rightChars="-10"/>
              <w:jc w:val="center"/>
              <w:rPr>
                <w:rFonts w:ascii="宋体"/>
              </w:rPr>
            </w:pPr>
          </w:p>
        </w:tc>
        <w:tc>
          <w:tcPr>
            <w:tcW w:w="1043" w:type="dxa"/>
            <w:vAlign w:val="center"/>
          </w:tcPr>
          <w:p>
            <w:pPr>
              <w:tabs>
                <w:tab w:val="left" w:pos="3570"/>
              </w:tabs>
              <w:spacing w:line="360" w:lineRule="auto"/>
              <w:ind w:right="-21" w:rightChars="-10"/>
              <w:jc w:val="center"/>
              <w:rPr>
                <w:rFonts w:ascii="宋体"/>
              </w:rPr>
            </w:pPr>
          </w:p>
        </w:tc>
        <w:tc>
          <w:tcPr>
            <w:tcW w:w="1043" w:type="dxa"/>
            <w:vAlign w:val="center"/>
          </w:tcPr>
          <w:p>
            <w:pPr>
              <w:tabs>
                <w:tab w:val="left" w:pos="3570"/>
              </w:tabs>
              <w:spacing w:line="360" w:lineRule="auto"/>
              <w:ind w:right="-21" w:rightChars="-1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rPr>
            </w:pPr>
          </w:p>
        </w:tc>
        <w:tc>
          <w:tcPr>
            <w:tcW w:w="2266" w:type="dxa"/>
            <w:vAlign w:val="center"/>
          </w:tcPr>
          <w:p>
            <w:pPr>
              <w:tabs>
                <w:tab w:val="left" w:pos="3570"/>
              </w:tabs>
              <w:spacing w:line="360" w:lineRule="auto"/>
              <w:ind w:right="-21" w:rightChars="-10"/>
              <w:jc w:val="center"/>
              <w:rPr>
                <w:rFonts w:ascii="宋体"/>
              </w:rPr>
            </w:pPr>
          </w:p>
        </w:tc>
        <w:tc>
          <w:tcPr>
            <w:tcW w:w="1027" w:type="dxa"/>
            <w:vAlign w:val="center"/>
          </w:tcPr>
          <w:p>
            <w:pPr>
              <w:tabs>
                <w:tab w:val="left" w:pos="3570"/>
              </w:tabs>
              <w:spacing w:line="360" w:lineRule="auto"/>
              <w:ind w:right="-21" w:rightChars="-10"/>
              <w:jc w:val="center"/>
              <w:rPr>
                <w:rFonts w:ascii="宋体"/>
              </w:rPr>
            </w:pPr>
          </w:p>
        </w:tc>
        <w:tc>
          <w:tcPr>
            <w:tcW w:w="1043" w:type="dxa"/>
            <w:vAlign w:val="center"/>
          </w:tcPr>
          <w:p>
            <w:pPr>
              <w:tabs>
                <w:tab w:val="left" w:pos="3570"/>
              </w:tabs>
              <w:spacing w:line="360" w:lineRule="auto"/>
              <w:ind w:right="-21" w:rightChars="-10"/>
              <w:jc w:val="center"/>
              <w:rPr>
                <w:rFonts w:ascii="宋体"/>
              </w:rPr>
            </w:pPr>
          </w:p>
        </w:tc>
        <w:tc>
          <w:tcPr>
            <w:tcW w:w="1043" w:type="dxa"/>
            <w:vAlign w:val="center"/>
          </w:tcPr>
          <w:p>
            <w:pPr>
              <w:tabs>
                <w:tab w:val="left" w:pos="3570"/>
              </w:tabs>
              <w:spacing w:line="360" w:lineRule="auto"/>
              <w:ind w:right="-21" w:rightChars="-1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rPr>
            </w:pPr>
          </w:p>
        </w:tc>
        <w:tc>
          <w:tcPr>
            <w:tcW w:w="2266" w:type="dxa"/>
            <w:vAlign w:val="center"/>
          </w:tcPr>
          <w:p>
            <w:pPr>
              <w:tabs>
                <w:tab w:val="left" w:pos="3570"/>
              </w:tabs>
              <w:spacing w:line="360" w:lineRule="auto"/>
              <w:ind w:right="-21" w:rightChars="-10"/>
              <w:jc w:val="center"/>
              <w:rPr>
                <w:rFonts w:ascii="宋体"/>
              </w:rPr>
            </w:pPr>
          </w:p>
        </w:tc>
        <w:tc>
          <w:tcPr>
            <w:tcW w:w="1027" w:type="dxa"/>
            <w:vAlign w:val="center"/>
          </w:tcPr>
          <w:p>
            <w:pPr>
              <w:tabs>
                <w:tab w:val="left" w:pos="3570"/>
              </w:tabs>
              <w:spacing w:line="360" w:lineRule="auto"/>
              <w:ind w:right="-21" w:rightChars="-10"/>
              <w:jc w:val="center"/>
              <w:rPr>
                <w:rFonts w:ascii="宋体"/>
              </w:rPr>
            </w:pPr>
          </w:p>
        </w:tc>
        <w:tc>
          <w:tcPr>
            <w:tcW w:w="1043" w:type="dxa"/>
            <w:vAlign w:val="center"/>
          </w:tcPr>
          <w:p>
            <w:pPr>
              <w:tabs>
                <w:tab w:val="left" w:pos="3570"/>
              </w:tabs>
              <w:spacing w:line="360" w:lineRule="auto"/>
              <w:ind w:right="-21" w:rightChars="-10"/>
              <w:jc w:val="center"/>
              <w:rPr>
                <w:rFonts w:ascii="宋体"/>
              </w:rPr>
            </w:pPr>
          </w:p>
        </w:tc>
        <w:tc>
          <w:tcPr>
            <w:tcW w:w="1043" w:type="dxa"/>
            <w:vAlign w:val="center"/>
          </w:tcPr>
          <w:p>
            <w:pPr>
              <w:tabs>
                <w:tab w:val="left" w:pos="3570"/>
              </w:tabs>
              <w:spacing w:line="360" w:lineRule="auto"/>
              <w:ind w:right="-21" w:rightChars="-1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rPr>
            </w:pPr>
          </w:p>
        </w:tc>
        <w:tc>
          <w:tcPr>
            <w:tcW w:w="1412" w:type="dxa"/>
            <w:vAlign w:val="center"/>
          </w:tcPr>
          <w:p>
            <w:pPr>
              <w:tabs>
                <w:tab w:val="left" w:pos="3570"/>
              </w:tabs>
              <w:spacing w:line="360" w:lineRule="auto"/>
              <w:ind w:right="-21" w:rightChars="-10"/>
              <w:jc w:val="center"/>
              <w:rPr>
                <w:rFonts w:ascii="宋体"/>
              </w:rPr>
            </w:pPr>
          </w:p>
        </w:tc>
        <w:tc>
          <w:tcPr>
            <w:tcW w:w="2266" w:type="dxa"/>
            <w:vAlign w:val="center"/>
          </w:tcPr>
          <w:p>
            <w:pPr>
              <w:tabs>
                <w:tab w:val="left" w:pos="3570"/>
              </w:tabs>
              <w:spacing w:line="360" w:lineRule="auto"/>
              <w:ind w:right="-21" w:rightChars="-10"/>
              <w:jc w:val="center"/>
              <w:rPr>
                <w:rFonts w:ascii="宋体"/>
              </w:rPr>
            </w:pPr>
          </w:p>
        </w:tc>
        <w:tc>
          <w:tcPr>
            <w:tcW w:w="1027" w:type="dxa"/>
            <w:vAlign w:val="center"/>
          </w:tcPr>
          <w:p>
            <w:pPr>
              <w:tabs>
                <w:tab w:val="left" w:pos="3570"/>
              </w:tabs>
              <w:spacing w:line="360" w:lineRule="auto"/>
              <w:ind w:right="-21" w:rightChars="-10"/>
              <w:jc w:val="center"/>
              <w:rPr>
                <w:rFonts w:ascii="宋体"/>
              </w:rPr>
            </w:pPr>
          </w:p>
        </w:tc>
        <w:tc>
          <w:tcPr>
            <w:tcW w:w="1043" w:type="dxa"/>
            <w:vAlign w:val="center"/>
          </w:tcPr>
          <w:p>
            <w:pPr>
              <w:tabs>
                <w:tab w:val="left" w:pos="3570"/>
              </w:tabs>
              <w:spacing w:line="360" w:lineRule="auto"/>
              <w:ind w:right="-21" w:rightChars="-10"/>
              <w:jc w:val="center"/>
              <w:rPr>
                <w:rFonts w:ascii="宋体"/>
              </w:rPr>
            </w:pPr>
          </w:p>
        </w:tc>
        <w:tc>
          <w:tcPr>
            <w:tcW w:w="1043" w:type="dxa"/>
            <w:vAlign w:val="center"/>
          </w:tcPr>
          <w:p>
            <w:pPr>
              <w:tabs>
                <w:tab w:val="left" w:pos="3570"/>
              </w:tabs>
              <w:spacing w:line="360" w:lineRule="auto"/>
              <w:ind w:right="-21" w:rightChars="-1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rPr>
            </w:pPr>
          </w:p>
        </w:tc>
        <w:tc>
          <w:tcPr>
            <w:tcW w:w="2266" w:type="dxa"/>
            <w:vAlign w:val="center"/>
          </w:tcPr>
          <w:p>
            <w:pPr>
              <w:tabs>
                <w:tab w:val="left" w:pos="3570"/>
              </w:tabs>
              <w:spacing w:line="360" w:lineRule="auto"/>
              <w:ind w:right="-21" w:rightChars="-10"/>
              <w:jc w:val="center"/>
              <w:rPr>
                <w:rFonts w:ascii="宋体"/>
              </w:rPr>
            </w:pPr>
          </w:p>
        </w:tc>
        <w:tc>
          <w:tcPr>
            <w:tcW w:w="1027" w:type="dxa"/>
            <w:vAlign w:val="center"/>
          </w:tcPr>
          <w:p>
            <w:pPr>
              <w:tabs>
                <w:tab w:val="left" w:pos="3570"/>
              </w:tabs>
              <w:spacing w:line="360" w:lineRule="auto"/>
              <w:ind w:right="-21" w:rightChars="-10"/>
              <w:jc w:val="center"/>
              <w:rPr>
                <w:rFonts w:ascii="宋体"/>
              </w:rPr>
            </w:pPr>
          </w:p>
        </w:tc>
        <w:tc>
          <w:tcPr>
            <w:tcW w:w="1043" w:type="dxa"/>
            <w:vAlign w:val="center"/>
          </w:tcPr>
          <w:p>
            <w:pPr>
              <w:tabs>
                <w:tab w:val="left" w:pos="3570"/>
              </w:tabs>
              <w:spacing w:line="360" w:lineRule="auto"/>
              <w:ind w:right="-21" w:rightChars="-10"/>
              <w:jc w:val="center"/>
              <w:rPr>
                <w:rFonts w:ascii="宋体"/>
              </w:rPr>
            </w:pPr>
          </w:p>
        </w:tc>
        <w:tc>
          <w:tcPr>
            <w:tcW w:w="1043" w:type="dxa"/>
            <w:vAlign w:val="center"/>
          </w:tcPr>
          <w:p>
            <w:pPr>
              <w:tabs>
                <w:tab w:val="left" w:pos="3570"/>
              </w:tabs>
              <w:spacing w:line="360" w:lineRule="auto"/>
              <w:ind w:right="-21" w:rightChars="-1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rPr>
            </w:pPr>
          </w:p>
        </w:tc>
        <w:tc>
          <w:tcPr>
            <w:tcW w:w="2266" w:type="dxa"/>
            <w:vAlign w:val="center"/>
          </w:tcPr>
          <w:p>
            <w:pPr>
              <w:tabs>
                <w:tab w:val="left" w:pos="3570"/>
              </w:tabs>
              <w:spacing w:line="360" w:lineRule="auto"/>
              <w:ind w:right="-21" w:rightChars="-10"/>
              <w:jc w:val="center"/>
              <w:rPr>
                <w:rFonts w:ascii="宋体"/>
              </w:rPr>
            </w:pPr>
          </w:p>
        </w:tc>
        <w:tc>
          <w:tcPr>
            <w:tcW w:w="1027" w:type="dxa"/>
            <w:vAlign w:val="center"/>
          </w:tcPr>
          <w:p>
            <w:pPr>
              <w:tabs>
                <w:tab w:val="left" w:pos="3570"/>
              </w:tabs>
              <w:spacing w:line="360" w:lineRule="auto"/>
              <w:ind w:right="-21" w:rightChars="-10"/>
              <w:jc w:val="center"/>
              <w:rPr>
                <w:rFonts w:ascii="宋体"/>
              </w:rPr>
            </w:pPr>
          </w:p>
        </w:tc>
        <w:tc>
          <w:tcPr>
            <w:tcW w:w="1043" w:type="dxa"/>
            <w:vAlign w:val="center"/>
          </w:tcPr>
          <w:p>
            <w:pPr>
              <w:tabs>
                <w:tab w:val="left" w:pos="3570"/>
              </w:tabs>
              <w:spacing w:line="360" w:lineRule="auto"/>
              <w:ind w:right="-21" w:rightChars="-10"/>
              <w:jc w:val="center"/>
              <w:rPr>
                <w:rFonts w:ascii="宋体"/>
              </w:rPr>
            </w:pPr>
          </w:p>
        </w:tc>
        <w:tc>
          <w:tcPr>
            <w:tcW w:w="1043" w:type="dxa"/>
            <w:vAlign w:val="center"/>
          </w:tcPr>
          <w:p>
            <w:pPr>
              <w:tabs>
                <w:tab w:val="left" w:pos="3570"/>
              </w:tabs>
              <w:spacing w:line="360" w:lineRule="auto"/>
              <w:ind w:right="-21" w:rightChars="-1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rPr>
            </w:pPr>
          </w:p>
        </w:tc>
        <w:tc>
          <w:tcPr>
            <w:tcW w:w="2266" w:type="dxa"/>
            <w:vAlign w:val="center"/>
          </w:tcPr>
          <w:p>
            <w:pPr>
              <w:tabs>
                <w:tab w:val="left" w:pos="3570"/>
              </w:tabs>
              <w:spacing w:line="360" w:lineRule="auto"/>
              <w:ind w:right="-21" w:rightChars="-10"/>
              <w:jc w:val="center"/>
              <w:rPr>
                <w:rFonts w:ascii="宋体"/>
              </w:rPr>
            </w:pPr>
          </w:p>
        </w:tc>
        <w:tc>
          <w:tcPr>
            <w:tcW w:w="1027" w:type="dxa"/>
            <w:vAlign w:val="center"/>
          </w:tcPr>
          <w:p>
            <w:pPr>
              <w:tabs>
                <w:tab w:val="left" w:pos="3570"/>
              </w:tabs>
              <w:spacing w:line="360" w:lineRule="auto"/>
              <w:ind w:right="-21" w:rightChars="-10"/>
              <w:jc w:val="center"/>
              <w:rPr>
                <w:rFonts w:ascii="宋体"/>
              </w:rPr>
            </w:pPr>
          </w:p>
        </w:tc>
        <w:tc>
          <w:tcPr>
            <w:tcW w:w="1043" w:type="dxa"/>
            <w:vAlign w:val="center"/>
          </w:tcPr>
          <w:p>
            <w:pPr>
              <w:tabs>
                <w:tab w:val="left" w:pos="3570"/>
              </w:tabs>
              <w:spacing w:line="360" w:lineRule="auto"/>
              <w:ind w:right="-21" w:rightChars="-10"/>
              <w:jc w:val="center"/>
              <w:rPr>
                <w:rFonts w:ascii="宋体"/>
              </w:rPr>
            </w:pPr>
          </w:p>
        </w:tc>
        <w:tc>
          <w:tcPr>
            <w:tcW w:w="1043" w:type="dxa"/>
            <w:vAlign w:val="center"/>
          </w:tcPr>
          <w:p>
            <w:pPr>
              <w:tabs>
                <w:tab w:val="left" w:pos="3570"/>
              </w:tabs>
              <w:spacing w:line="360" w:lineRule="auto"/>
              <w:ind w:right="-21" w:rightChars="-10"/>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rPr>
            </w:pPr>
            <w:r>
              <w:rPr>
                <w:rFonts w:hint="eastAsia" w:ascii="宋体" w:hAnsi="宋体"/>
              </w:rPr>
              <w:t>备注：以上报价包含增值税     （专用/普通）发票，税率为     。</w:t>
            </w:r>
          </w:p>
        </w:tc>
      </w:tr>
    </w:tbl>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pStyle w:val="2"/>
      </w:pPr>
      <w:r>
        <w:rPr>
          <w:rFonts w:hint="eastAsia"/>
        </w:rPr>
        <w:t>格式3   报价货物简要说明一览表</w:t>
      </w:r>
    </w:p>
    <w:p>
      <w:pPr>
        <w:tabs>
          <w:tab w:val="left" w:pos="3570"/>
        </w:tabs>
        <w:spacing w:line="360" w:lineRule="auto"/>
        <w:ind w:right="-21" w:rightChars="-10"/>
        <w:rPr>
          <w:rFonts w:ascii="宋体" w:hAnsi="宋体"/>
        </w:rPr>
      </w:pPr>
      <w:r>
        <w:rPr>
          <w:rFonts w:hint="eastAsia" w:ascii="宋体" w:hAnsi="宋体"/>
        </w:rPr>
        <w:t xml:space="preserve">报价人全称（加盖公章）：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rPr>
            </w:pPr>
            <w:r>
              <w:rPr>
                <w:rFonts w:hint="eastAsia" w:ascii="宋体" w:hAnsi="宋体"/>
              </w:rPr>
              <w:t>序号</w:t>
            </w:r>
          </w:p>
        </w:tc>
        <w:tc>
          <w:tcPr>
            <w:tcW w:w="1226" w:type="dxa"/>
          </w:tcPr>
          <w:p>
            <w:pPr>
              <w:tabs>
                <w:tab w:val="left" w:pos="3570"/>
              </w:tabs>
              <w:spacing w:line="360" w:lineRule="auto"/>
              <w:ind w:right="-21" w:rightChars="-10"/>
              <w:jc w:val="center"/>
              <w:rPr>
                <w:rFonts w:ascii="宋体" w:hAnsi="宋体"/>
              </w:rPr>
            </w:pPr>
            <w:r>
              <w:rPr>
                <w:rFonts w:hint="eastAsia" w:ascii="宋体" w:hAnsi="宋体"/>
              </w:rPr>
              <w:t>货物名称</w:t>
            </w:r>
          </w:p>
        </w:tc>
        <w:tc>
          <w:tcPr>
            <w:tcW w:w="2955" w:type="dxa"/>
          </w:tcPr>
          <w:p>
            <w:pPr>
              <w:tabs>
                <w:tab w:val="left" w:pos="3570"/>
              </w:tabs>
              <w:spacing w:line="360" w:lineRule="auto"/>
              <w:ind w:right="-21" w:rightChars="-10"/>
              <w:jc w:val="center"/>
              <w:rPr>
                <w:rFonts w:ascii="宋体" w:hAnsi="宋体"/>
              </w:rPr>
            </w:pPr>
            <w:r>
              <w:rPr>
                <w:rFonts w:hint="eastAsia" w:ascii="宋体" w:hAnsi="宋体"/>
              </w:rPr>
              <w:t>型号规格及配置</w:t>
            </w:r>
          </w:p>
        </w:tc>
        <w:tc>
          <w:tcPr>
            <w:tcW w:w="1399" w:type="dxa"/>
          </w:tcPr>
          <w:p>
            <w:pPr>
              <w:tabs>
                <w:tab w:val="left" w:pos="3570"/>
              </w:tabs>
              <w:spacing w:line="360" w:lineRule="auto"/>
              <w:ind w:right="-21" w:rightChars="-10"/>
              <w:jc w:val="center"/>
              <w:rPr>
                <w:rFonts w:ascii="宋体" w:hAnsi="宋体"/>
              </w:rPr>
            </w:pPr>
            <w:r>
              <w:rPr>
                <w:rFonts w:hint="eastAsia" w:ascii="宋体" w:hAnsi="宋体"/>
              </w:rPr>
              <w:t>性能说明</w:t>
            </w:r>
          </w:p>
        </w:tc>
        <w:tc>
          <w:tcPr>
            <w:tcW w:w="872" w:type="dxa"/>
          </w:tcPr>
          <w:p>
            <w:pPr>
              <w:tabs>
                <w:tab w:val="left" w:pos="3570"/>
              </w:tabs>
              <w:spacing w:line="360" w:lineRule="auto"/>
              <w:ind w:right="-21" w:rightChars="-10"/>
              <w:jc w:val="center"/>
              <w:rPr>
                <w:rFonts w:ascii="宋体" w:hAnsi="宋体"/>
              </w:rPr>
            </w:pPr>
            <w:r>
              <w:rPr>
                <w:rFonts w:hint="eastAsia" w:ascii="宋体" w:hAnsi="宋体"/>
              </w:rPr>
              <w:t>数量</w:t>
            </w:r>
          </w:p>
        </w:tc>
        <w:tc>
          <w:tcPr>
            <w:tcW w:w="1362" w:type="dxa"/>
          </w:tcPr>
          <w:p>
            <w:pPr>
              <w:tabs>
                <w:tab w:val="left" w:pos="3570"/>
              </w:tabs>
              <w:spacing w:line="360" w:lineRule="auto"/>
              <w:ind w:right="-21" w:rightChars="-10"/>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rPr>
            </w:pPr>
          </w:p>
        </w:tc>
        <w:tc>
          <w:tcPr>
            <w:tcW w:w="1226" w:type="dxa"/>
          </w:tcPr>
          <w:p>
            <w:pPr>
              <w:tabs>
                <w:tab w:val="left" w:pos="3570"/>
              </w:tabs>
              <w:spacing w:line="360" w:lineRule="auto"/>
              <w:ind w:right="-21" w:rightChars="-10"/>
              <w:jc w:val="center"/>
              <w:rPr>
                <w:rFonts w:ascii="宋体" w:hAnsi="宋体"/>
              </w:rPr>
            </w:pPr>
          </w:p>
        </w:tc>
        <w:tc>
          <w:tcPr>
            <w:tcW w:w="2955" w:type="dxa"/>
          </w:tcPr>
          <w:p>
            <w:pPr>
              <w:tabs>
                <w:tab w:val="left" w:pos="3570"/>
              </w:tabs>
              <w:spacing w:line="360" w:lineRule="auto"/>
              <w:ind w:right="-21" w:rightChars="-10"/>
              <w:jc w:val="center"/>
              <w:rPr>
                <w:rFonts w:ascii="宋体" w:hAnsi="宋体"/>
              </w:rPr>
            </w:pPr>
          </w:p>
        </w:tc>
        <w:tc>
          <w:tcPr>
            <w:tcW w:w="1399" w:type="dxa"/>
          </w:tcPr>
          <w:p>
            <w:pPr>
              <w:tabs>
                <w:tab w:val="left" w:pos="3570"/>
              </w:tabs>
              <w:spacing w:line="360" w:lineRule="auto"/>
              <w:ind w:right="-21" w:rightChars="-10"/>
              <w:jc w:val="center"/>
              <w:rPr>
                <w:rFonts w:ascii="宋体" w:hAnsi="宋体"/>
              </w:rPr>
            </w:pPr>
          </w:p>
        </w:tc>
        <w:tc>
          <w:tcPr>
            <w:tcW w:w="872" w:type="dxa"/>
          </w:tcPr>
          <w:p>
            <w:pPr>
              <w:tabs>
                <w:tab w:val="left" w:pos="3570"/>
              </w:tabs>
              <w:spacing w:line="360" w:lineRule="auto"/>
              <w:ind w:right="-21" w:rightChars="-10"/>
              <w:jc w:val="center"/>
              <w:rPr>
                <w:rFonts w:ascii="宋体" w:hAnsi="宋体"/>
              </w:rPr>
            </w:pPr>
          </w:p>
        </w:tc>
        <w:tc>
          <w:tcPr>
            <w:tcW w:w="1362" w:type="dxa"/>
          </w:tcPr>
          <w:p>
            <w:pPr>
              <w:tabs>
                <w:tab w:val="left" w:pos="3570"/>
              </w:tabs>
              <w:spacing w:line="360" w:lineRule="auto"/>
              <w:ind w:right="-21" w:rightChars="-1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rPr>
            </w:pPr>
          </w:p>
        </w:tc>
        <w:tc>
          <w:tcPr>
            <w:tcW w:w="1226" w:type="dxa"/>
          </w:tcPr>
          <w:p>
            <w:pPr>
              <w:tabs>
                <w:tab w:val="left" w:pos="3570"/>
              </w:tabs>
              <w:spacing w:line="360" w:lineRule="auto"/>
              <w:ind w:right="-21" w:rightChars="-10"/>
              <w:jc w:val="center"/>
              <w:rPr>
                <w:rFonts w:ascii="宋体" w:hAnsi="宋体"/>
              </w:rPr>
            </w:pPr>
          </w:p>
        </w:tc>
        <w:tc>
          <w:tcPr>
            <w:tcW w:w="2955" w:type="dxa"/>
          </w:tcPr>
          <w:p>
            <w:pPr>
              <w:tabs>
                <w:tab w:val="left" w:pos="3570"/>
              </w:tabs>
              <w:spacing w:line="360" w:lineRule="auto"/>
              <w:ind w:right="-21" w:rightChars="-10"/>
              <w:jc w:val="center"/>
              <w:rPr>
                <w:rFonts w:ascii="宋体" w:hAnsi="宋体"/>
              </w:rPr>
            </w:pPr>
          </w:p>
        </w:tc>
        <w:tc>
          <w:tcPr>
            <w:tcW w:w="1399" w:type="dxa"/>
          </w:tcPr>
          <w:p>
            <w:pPr>
              <w:tabs>
                <w:tab w:val="left" w:pos="3570"/>
              </w:tabs>
              <w:spacing w:line="360" w:lineRule="auto"/>
              <w:ind w:right="-21" w:rightChars="-10"/>
              <w:jc w:val="center"/>
              <w:rPr>
                <w:rFonts w:ascii="宋体" w:hAnsi="宋体"/>
              </w:rPr>
            </w:pPr>
          </w:p>
        </w:tc>
        <w:tc>
          <w:tcPr>
            <w:tcW w:w="872" w:type="dxa"/>
          </w:tcPr>
          <w:p>
            <w:pPr>
              <w:tabs>
                <w:tab w:val="left" w:pos="3570"/>
              </w:tabs>
              <w:spacing w:line="360" w:lineRule="auto"/>
              <w:ind w:right="-21" w:rightChars="-10"/>
              <w:jc w:val="center"/>
              <w:rPr>
                <w:rFonts w:ascii="宋体" w:hAnsi="宋体"/>
              </w:rPr>
            </w:pPr>
          </w:p>
        </w:tc>
        <w:tc>
          <w:tcPr>
            <w:tcW w:w="1362" w:type="dxa"/>
          </w:tcPr>
          <w:p>
            <w:pPr>
              <w:tabs>
                <w:tab w:val="left" w:pos="3570"/>
              </w:tabs>
              <w:spacing w:line="360" w:lineRule="auto"/>
              <w:ind w:right="-21" w:rightChars="-1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rPr>
            </w:pPr>
          </w:p>
        </w:tc>
        <w:tc>
          <w:tcPr>
            <w:tcW w:w="1226" w:type="dxa"/>
          </w:tcPr>
          <w:p>
            <w:pPr>
              <w:tabs>
                <w:tab w:val="left" w:pos="3570"/>
              </w:tabs>
              <w:spacing w:line="360" w:lineRule="auto"/>
              <w:ind w:right="-21" w:rightChars="-10"/>
              <w:jc w:val="center"/>
              <w:rPr>
                <w:rFonts w:ascii="宋体" w:hAnsi="宋体"/>
              </w:rPr>
            </w:pPr>
          </w:p>
        </w:tc>
        <w:tc>
          <w:tcPr>
            <w:tcW w:w="2955" w:type="dxa"/>
          </w:tcPr>
          <w:p>
            <w:pPr>
              <w:tabs>
                <w:tab w:val="left" w:pos="3570"/>
              </w:tabs>
              <w:spacing w:line="360" w:lineRule="auto"/>
              <w:ind w:right="-21" w:rightChars="-10"/>
              <w:jc w:val="center"/>
              <w:rPr>
                <w:rFonts w:ascii="宋体" w:hAnsi="宋体"/>
              </w:rPr>
            </w:pPr>
          </w:p>
        </w:tc>
        <w:tc>
          <w:tcPr>
            <w:tcW w:w="1399" w:type="dxa"/>
          </w:tcPr>
          <w:p>
            <w:pPr>
              <w:tabs>
                <w:tab w:val="left" w:pos="3570"/>
              </w:tabs>
              <w:spacing w:line="360" w:lineRule="auto"/>
              <w:ind w:right="-21" w:rightChars="-10"/>
              <w:jc w:val="center"/>
              <w:rPr>
                <w:rFonts w:ascii="宋体" w:hAnsi="宋体"/>
              </w:rPr>
            </w:pPr>
          </w:p>
        </w:tc>
        <w:tc>
          <w:tcPr>
            <w:tcW w:w="872" w:type="dxa"/>
          </w:tcPr>
          <w:p>
            <w:pPr>
              <w:tabs>
                <w:tab w:val="left" w:pos="3570"/>
              </w:tabs>
              <w:spacing w:line="360" w:lineRule="auto"/>
              <w:ind w:right="-21" w:rightChars="-10"/>
              <w:jc w:val="center"/>
              <w:rPr>
                <w:rFonts w:ascii="宋体" w:hAnsi="宋体"/>
              </w:rPr>
            </w:pPr>
          </w:p>
        </w:tc>
        <w:tc>
          <w:tcPr>
            <w:tcW w:w="1362" w:type="dxa"/>
          </w:tcPr>
          <w:p>
            <w:pPr>
              <w:tabs>
                <w:tab w:val="left" w:pos="3570"/>
              </w:tabs>
              <w:spacing w:line="360" w:lineRule="auto"/>
              <w:ind w:right="-21" w:rightChars="-1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rPr>
            </w:pPr>
          </w:p>
        </w:tc>
        <w:tc>
          <w:tcPr>
            <w:tcW w:w="1226" w:type="dxa"/>
          </w:tcPr>
          <w:p>
            <w:pPr>
              <w:tabs>
                <w:tab w:val="left" w:pos="3570"/>
              </w:tabs>
              <w:spacing w:line="360" w:lineRule="auto"/>
              <w:ind w:right="-21" w:rightChars="-10"/>
              <w:jc w:val="center"/>
              <w:rPr>
                <w:rFonts w:ascii="宋体" w:hAnsi="宋体"/>
              </w:rPr>
            </w:pPr>
          </w:p>
        </w:tc>
        <w:tc>
          <w:tcPr>
            <w:tcW w:w="2955" w:type="dxa"/>
          </w:tcPr>
          <w:p>
            <w:pPr>
              <w:tabs>
                <w:tab w:val="left" w:pos="3570"/>
              </w:tabs>
              <w:spacing w:line="360" w:lineRule="auto"/>
              <w:ind w:right="-21" w:rightChars="-10"/>
              <w:jc w:val="center"/>
              <w:rPr>
                <w:rFonts w:ascii="宋体" w:hAnsi="宋体"/>
              </w:rPr>
            </w:pPr>
          </w:p>
        </w:tc>
        <w:tc>
          <w:tcPr>
            <w:tcW w:w="1399" w:type="dxa"/>
          </w:tcPr>
          <w:p>
            <w:pPr>
              <w:tabs>
                <w:tab w:val="left" w:pos="3570"/>
              </w:tabs>
              <w:spacing w:line="360" w:lineRule="auto"/>
              <w:ind w:right="-21" w:rightChars="-10"/>
              <w:jc w:val="center"/>
              <w:rPr>
                <w:rFonts w:ascii="宋体" w:hAnsi="宋体"/>
              </w:rPr>
            </w:pPr>
          </w:p>
        </w:tc>
        <w:tc>
          <w:tcPr>
            <w:tcW w:w="872" w:type="dxa"/>
          </w:tcPr>
          <w:p>
            <w:pPr>
              <w:tabs>
                <w:tab w:val="left" w:pos="3570"/>
              </w:tabs>
              <w:spacing w:line="360" w:lineRule="auto"/>
              <w:ind w:right="-21" w:rightChars="-10"/>
              <w:jc w:val="center"/>
              <w:rPr>
                <w:rFonts w:ascii="宋体" w:hAnsi="宋体"/>
              </w:rPr>
            </w:pPr>
          </w:p>
        </w:tc>
        <w:tc>
          <w:tcPr>
            <w:tcW w:w="1362" w:type="dxa"/>
          </w:tcPr>
          <w:p>
            <w:pPr>
              <w:tabs>
                <w:tab w:val="left" w:pos="3570"/>
              </w:tabs>
              <w:spacing w:line="360" w:lineRule="auto"/>
              <w:ind w:right="-21" w:rightChars="-1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rPr>
            </w:pPr>
          </w:p>
        </w:tc>
        <w:tc>
          <w:tcPr>
            <w:tcW w:w="1226" w:type="dxa"/>
          </w:tcPr>
          <w:p>
            <w:pPr>
              <w:tabs>
                <w:tab w:val="left" w:pos="3570"/>
              </w:tabs>
              <w:spacing w:line="360" w:lineRule="auto"/>
              <w:ind w:right="-21" w:rightChars="-10"/>
              <w:jc w:val="center"/>
              <w:rPr>
                <w:rFonts w:ascii="宋体" w:hAnsi="宋体"/>
              </w:rPr>
            </w:pPr>
          </w:p>
        </w:tc>
        <w:tc>
          <w:tcPr>
            <w:tcW w:w="2955" w:type="dxa"/>
          </w:tcPr>
          <w:p>
            <w:pPr>
              <w:tabs>
                <w:tab w:val="left" w:pos="3570"/>
              </w:tabs>
              <w:spacing w:line="360" w:lineRule="auto"/>
              <w:ind w:right="-21" w:rightChars="-10"/>
              <w:jc w:val="center"/>
              <w:rPr>
                <w:rFonts w:ascii="宋体" w:hAnsi="宋体"/>
              </w:rPr>
            </w:pPr>
          </w:p>
        </w:tc>
        <w:tc>
          <w:tcPr>
            <w:tcW w:w="1399" w:type="dxa"/>
          </w:tcPr>
          <w:p>
            <w:pPr>
              <w:tabs>
                <w:tab w:val="left" w:pos="3570"/>
              </w:tabs>
              <w:spacing w:line="360" w:lineRule="auto"/>
              <w:ind w:right="-21" w:rightChars="-10"/>
              <w:jc w:val="center"/>
              <w:rPr>
                <w:rFonts w:ascii="宋体" w:hAnsi="宋体"/>
              </w:rPr>
            </w:pPr>
          </w:p>
        </w:tc>
        <w:tc>
          <w:tcPr>
            <w:tcW w:w="872" w:type="dxa"/>
          </w:tcPr>
          <w:p>
            <w:pPr>
              <w:tabs>
                <w:tab w:val="left" w:pos="3570"/>
              </w:tabs>
              <w:spacing w:line="360" w:lineRule="auto"/>
              <w:ind w:right="-21" w:rightChars="-10"/>
              <w:jc w:val="center"/>
              <w:rPr>
                <w:rFonts w:ascii="宋体" w:hAnsi="宋体"/>
              </w:rPr>
            </w:pPr>
          </w:p>
        </w:tc>
        <w:tc>
          <w:tcPr>
            <w:tcW w:w="1362" w:type="dxa"/>
          </w:tcPr>
          <w:p>
            <w:pPr>
              <w:tabs>
                <w:tab w:val="left" w:pos="3570"/>
              </w:tabs>
              <w:spacing w:line="360" w:lineRule="auto"/>
              <w:ind w:right="-21" w:rightChars="-1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rPr>
            </w:pPr>
          </w:p>
        </w:tc>
        <w:tc>
          <w:tcPr>
            <w:tcW w:w="1226" w:type="dxa"/>
          </w:tcPr>
          <w:p>
            <w:pPr>
              <w:tabs>
                <w:tab w:val="left" w:pos="3570"/>
              </w:tabs>
              <w:spacing w:line="360" w:lineRule="auto"/>
              <w:ind w:right="-21" w:rightChars="-10"/>
              <w:jc w:val="center"/>
              <w:rPr>
                <w:rFonts w:ascii="宋体" w:hAnsi="宋体"/>
              </w:rPr>
            </w:pPr>
          </w:p>
        </w:tc>
        <w:tc>
          <w:tcPr>
            <w:tcW w:w="2955" w:type="dxa"/>
          </w:tcPr>
          <w:p>
            <w:pPr>
              <w:tabs>
                <w:tab w:val="left" w:pos="3570"/>
              </w:tabs>
              <w:spacing w:line="360" w:lineRule="auto"/>
              <w:ind w:right="-21" w:rightChars="-10"/>
              <w:jc w:val="center"/>
              <w:rPr>
                <w:rFonts w:ascii="宋体" w:hAnsi="宋体"/>
              </w:rPr>
            </w:pPr>
          </w:p>
        </w:tc>
        <w:tc>
          <w:tcPr>
            <w:tcW w:w="1399" w:type="dxa"/>
          </w:tcPr>
          <w:p>
            <w:pPr>
              <w:tabs>
                <w:tab w:val="left" w:pos="3570"/>
              </w:tabs>
              <w:spacing w:line="360" w:lineRule="auto"/>
              <w:ind w:right="-21" w:rightChars="-10"/>
              <w:jc w:val="center"/>
              <w:rPr>
                <w:rFonts w:ascii="宋体" w:hAnsi="宋体"/>
              </w:rPr>
            </w:pPr>
          </w:p>
        </w:tc>
        <w:tc>
          <w:tcPr>
            <w:tcW w:w="872" w:type="dxa"/>
          </w:tcPr>
          <w:p>
            <w:pPr>
              <w:tabs>
                <w:tab w:val="left" w:pos="3570"/>
              </w:tabs>
              <w:spacing w:line="360" w:lineRule="auto"/>
              <w:ind w:right="-21" w:rightChars="-10"/>
              <w:jc w:val="center"/>
              <w:rPr>
                <w:rFonts w:ascii="宋体" w:hAnsi="宋体"/>
              </w:rPr>
            </w:pPr>
          </w:p>
        </w:tc>
        <w:tc>
          <w:tcPr>
            <w:tcW w:w="1362" w:type="dxa"/>
          </w:tcPr>
          <w:p>
            <w:pPr>
              <w:tabs>
                <w:tab w:val="left" w:pos="3570"/>
              </w:tabs>
              <w:spacing w:line="360" w:lineRule="auto"/>
              <w:ind w:right="-21" w:rightChars="-1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rPr>
            </w:pPr>
          </w:p>
        </w:tc>
        <w:tc>
          <w:tcPr>
            <w:tcW w:w="1226" w:type="dxa"/>
          </w:tcPr>
          <w:p>
            <w:pPr>
              <w:tabs>
                <w:tab w:val="left" w:pos="3570"/>
              </w:tabs>
              <w:spacing w:line="360" w:lineRule="auto"/>
              <w:ind w:right="-21" w:rightChars="-10"/>
              <w:jc w:val="center"/>
              <w:rPr>
                <w:rFonts w:ascii="宋体" w:hAnsi="宋体"/>
              </w:rPr>
            </w:pPr>
          </w:p>
        </w:tc>
        <w:tc>
          <w:tcPr>
            <w:tcW w:w="2955" w:type="dxa"/>
          </w:tcPr>
          <w:p>
            <w:pPr>
              <w:tabs>
                <w:tab w:val="left" w:pos="3570"/>
              </w:tabs>
              <w:spacing w:line="360" w:lineRule="auto"/>
              <w:ind w:right="-21" w:rightChars="-10"/>
              <w:jc w:val="center"/>
              <w:rPr>
                <w:rFonts w:ascii="宋体" w:hAnsi="宋体"/>
              </w:rPr>
            </w:pPr>
          </w:p>
        </w:tc>
        <w:tc>
          <w:tcPr>
            <w:tcW w:w="1399" w:type="dxa"/>
          </w:tcPr>
          <w:p>
            <w:pPr>
              <w:tabs>
                <w:tab w:val="left" w:pos="3570"/>
              </w:tabs>
              <w:spacing w:line="360" w:lineRule="auto"/>
              <w:ind w:right="-21" w:rightChars="-10"/>
              <w:jc w:val="center"/>
              <w:rPr>
                <w:rFonts w:ascii="宋体" w:hAnsi="宋体"/>
              </w:rPr>
            </w:pPr>
          </w:p>
        </w:tc>
        <w:tc>
          <w:tcPr>
            <w:tcW w:w="872" w:type="dxa"/>
          </w:tcPr>
          <w:p>
            <w:pPr>
              <w:tabs>
                <w:tab w:val="left" w:pos="3570"/>
              </w:tabs>
              <w:spacing w:line="360" w:lineRule="auto"/>
              <w:ind w:right="-21" w:rightChars="-10"/>
              <w:jc w:val="center"/>
              <w:rPr>
                <w:rFonts w:ascii="宋体" w:hAnsi="宋体"/>
              </w:rPr>
            </w:pPr>
          </w:p>
        </w:tc>
        <w:tc>
          <w:tcPr>
            <w:tcW w:w="1362" w:type="dxa"/>
          </w:tcPr>
          <w:p>
            <w:pPr>
              <w:tabs>
                <w:tab w:val="left" w:pos="3570"/>
              </w:tabs>
              <w:spacing w:line="360" w:lineRule="auto"/>
              <w:ind w:right="-21" w:rightChars="-1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rPr>
            </w:pPr>
          </w:p>
        </w:tc>
        <w:tc>
          <w:tcPr>
            <w:tcW w:w="1226" w:type="dxa"/>
          </w:tcPr>
          <w:p>
            <w:pPr>
              <w:tabs>
                <w:tab w:val="left" w:pos="3570"/>
              </w:tabs>
              <w:spacing w:line="360" w:lineRule="auto"/>
              <w:ind w:right="-21" w:rightChars="-10"/>
              <w:jc w:val="center"/>
              <w:rPr>
                <w:rFonts w:ascii="宋体" w:hAnsi="宋体"/>
              </w:rPr>
            </w:pPr>
          </w:p>
        </w:tc>
        <w:tc>
          <w:tcPr>
            <w:tcW w:w="2955" w:type="dxa"/>
          </w:tcPr>
          <w:p>
            <w:pPr>
              <w:tabs>
                <w:tab w:val="left" w:pos="3570"/>
              </w:tabs>
              <w:spacing w:line="360" w:lineRule="auto"/>
              <w:ind w:right="-21" w:rightChars="-10"/>
              <w:jc w:val="center"/>
              <w:rPr>
                <w:rFonts w:ascii="宋体" w:hAnsi="宋体"/>
              </w:rPr>
            </w:pPr>
          </w:p>
        </w:tc>
        <w:tc>
          <w:tcPr>
            <w:tcW w:w="1399" w:type="dxa"/>
          </w:tcPr>
          <w:p>
            <w:pPr>
              <w:tabs>
                <w:tab w:val="left" w:pos="3570"/>
              </w:tabs>
              <w:spacing w:line="360" w:lineRule="auto"/>
              <w:ind w:right="-21" w:rightChars="-10"/>
              <w:jc w:val="center"/>
              <w:rPr>
                <w:rFonts w:ascii="宋体" w:hAnsi="宋体"/>
              </w:rPr>
            </w:pPr>
          </w:p>
        </w:tc>
        <w:tc>
          <w:tcPr>
            <w:tcW w:w="872" w:type="dxa"/>
          </w:tcPr>
          <w:p>
            <w:pPr>
              <w:tabs>
                <w:tab w:val="left" w:pos="3570"/>
              </w:tabs>
              <w:spacing w:line="360" w:lineRule="auto"/>
              <w:ind w:right="-21" w:rightChars="-10"/>
              <w:jc w:val="center"/>
              <w:rPr>
                <w:rFonts w:ascii="宋体" w:hAnsi="宋体"/>
              </w:rPr>
            </w:pPr>
          </w:p>
        </w:tc>
        <w:tc>
          <w:tcPr>
            <w:tcW w:w="1362" w:type="dxa"/>
          </w:tcPr>
          <w:p>
            <w:pPr>
              <w:tabs>
                <w:tab w:val="left" w:pos="3570"/>
              </w:tabs>
              <w:spacing w:line="360" w:lineRule="auto"/>
              <w:ind w:right="-21" w:rightChars="-1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rPr>
            </w:pPr>
          </w:p>
        </w:tc>
        <w:tc>
          <w:tcPr>
            <w:tcW w:w="1226" w:type="dxa"/>
          </w:tcPr>
          <w:p>
            <w:pPr>
              <w:tabs>
                <w:tab w:val="left" w:pos="3570"/>
              </w:tabs>
              <w:spacing w:line="360" w:lineRule="auto"/>
              <w:ind w:right="-21" w:rightChars="-10"/>
              <w:jc w:val="center"/>
              <w:rPr>
                <w:rFonts w:ascii="宋体" w:hAnsi="宋体"/>
              </w:rPr>
            </w:pPr>
          </w:p>
        </w:tc>
        <w:tc>
          <w:tcPr>
            <w:tcW w:w="2955" w:type="dxa"/>
          </w:tcPr>
          <w:p>
            <w:pPr>
              <w:tabs>
                <w:tab w:val="left" w:pos="3570"/>
              </w:tabs>
              <w:spacing w:line="360" w:lineRule="auto"/>
              <w:ind w:right="-21" w:rightChars="-10"/>
              <w:jc w:val="center"/>
              <w:rPr>
                <w:rFonts w:ascii="宋体" w:hAnsi="宋体"/>
              </w:rPr>
            </w:pPr>
          </w:p>
        </w:tc>
        <w:tc>
          <w:tcPr>
            <w:tcW w:w="1399" w:type="dxa"/>
          </w:tcPr>
          <w:p>
            <w:pPr>
              <w:tabs>
                <w:tab w:val="left" w:pos="3570"/>
              </w:tabs>
              <w:spacing w:line="360" w:lineRule="auto"/>
              <w:ind w:right="-21" w:rightChars="-10"/>
              <w:jc w:val="center"/>
              <w:rPr>
                <w:rFonts w:ascii="宋体" w:hAnsi="宋体"/>
              </w:rPr>
            </w:pPr>
          </w:p>
        </w:tc>
        <w:tc>
          <w:tcPr>
            <w:tcW w:w="872" w:type="dxa"/>
          </w:tcPr>
          <w:p>
            <w:pPr>
              <w:tabs>
                <w:tab w:val="left" w:pos="3570"/>
              </w:tabs>
              <w:spacing w:line="360" w:lineRule="auto"/>
              <w:ind w:right="-21" w:rightChars="-10"/>
              <w:jc w:val="center"/>
              <w:rPr>
                <w:rFonts w:ascii="宋体" w:hAnsi="宋体"/>
              </w:rPr>
            </w:pPr>
          </w:p>
        </w:tc>
        <w:tc>
          <w:tcPr>
            <w:tcW w:w="1362" w:type="dxa"/>
          </w:tcPr>
          <w:p>
            <w:pPr>
              <w:tabs>
                <w:tab w:val="left" w:pos="3570"/>
              </w:tabs>
              <w:spacing w:line="360" w:lineRule="auto"/>
              <w:ind w:right="-21" w:rightChars="-1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rPr>
            </w:pPr>
          </w:p>
        </w:tc>
        <w:tc>
          <w:tcPr>
            <w:tcW w:w="1226" w:type="dxa"/>
          </w:tcPr>
          <w:p>
            <w:pPr>
              <w:tabs>
                <w:tab w:val="left" w:pos="3570"/>
              </w:tabs>
              <w:spacing w:line="360" w:lineRule="auto"/>
              <w:ind w:right="-21" w:rightChars="-10"/>
              <w:jc w:val="center"/>
              <w:rPr>
                <w:rFonts w:ascii="宋体" w:hAnsi="宋体"/>
              </w:rPr>
            </w:pPr>
          </w:p>
        </w:tc>
        <w:tc>
          <w:tcPr>
            <w:tcW w:w="2955" w:type="dxa"/>
          </w:tcPr>
          <w:p>
            <w:pPr>
              <w:tabs>
                <w:tab w:val="left" w:pos="3570"/>
              </w:tabs>
              <w:spacing w:line="360" w:lineRule="auto"/>
              <w:ind w:right="-21" w:rightChars="-10"/>
              <w:jc w:val="center"/>
              <w:rPr>
                <w:rFonts w:ascii="宋体" w:hAnsi="宋体"/>
              </w:rPr>
            </w:pPr>
          </w:p>
        </w:tc>
        <w:tc>
          <w:tcPr>
            <w:tcW w:w="1399" w:type="dxa"/>
          </w:tcPr>
          <w:p>
            <w:pPr>
              <w:tabs>
                <w:tab w:val="left" w:pos="3570"/>
              </w:tabs>
              <w:spacing w:line="360" w:lineRule="auto"/>
              <w:ind w:right="-21" w:rightChars="-10"/>
              <w:jc w:val="center"/>
              <w:rPr>
                <w:rFonts w:ascii="宋体" w:hAnsi="宋体"/>
              </w:rPr>
            </w:pPr>
          </w:p>
        </w:tc>
        <w:tc>
          <w:tcPr>
            <w:tcW w:w="872" w:type="dxa"/>
          </w:tcPr>
          <w:p>
            <w:pPr>
              <w:tabs>
                <w:tab w:val="left" w:pos="3570"/>
              </w:tabs>
              <w:spacing w:line="360" w:lineRule="auto"/>
              <w:ind w:right="-21" w:rightChars="-10"/>
              <w:jc w:val="center"/>
              <w:rPr>
                <w:rFonts w:ascii="宋体" w:hAnsi="宋体"/>
              </w:rPr>
            </w:pPr>
          </w:p>
        </w:tc>
        <w:tc>
          <w:tcPr>
            <w:tcW w:w="1362" w:type="dxa"/>
          </w:tcPr>
          <w:p>
            <w:pPr>
              <w:tabs>
                <w:tab w:val="left" w:pos="3570"/>
              </w:tabs>
              <w:spacing w:line="360" w:lineRule="auto"/>
              <w:ind w:right="-21" w:rightChars="-1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rPr>
            </w:pPr>
          </w:p>
        </w:tc>
        <w:tc>
          <w:tcPr>
            <w:tcW w:w="1226" w:type="dxa"/>
          </w:tcPr>
          <w:p>
            <w:pPr>
              <w:tabs>
                <w:tab w:val="left" w:pos="3570"/>
              </w:tabs>
              <w:spacing w:line="360" w:lineRule="auto"/>
              <w:ind w:right="-21" w:rightChars="-10"/>
              <w:jc w:val="center"/>
              <w:rPr>
                <w:rFonts w:ascii="宋体" w:hAnsi="宋体"/>
              </w:rPr>
            </w:pPr>
          </w:p>
        </w:tc>
        <w:tc>
          <w:tcPr>
            <w:tcW w:w="2955" w:type="dxa"/>
          </w:tcPr>
          <w:p>
            <w:pPr>
              <w:tabs>
                <w:tab w:val="left" w:pos="3570"/>
              </w:tabs>
              <w:spacing w:line="360" w:lineRule="auto"/>
              <w:ind w:right="-21" w:rightChars="-10"/>
              <w:jc w:val="center"/>
              <w:rPr>
                <w:rFonts w:ascii="宋体" w:hAnsi="宋体"/>
              </w:rPr>
            </w:pPr>
          </w:p>
        </w:tc>
        <w:tc>
          <w:tcPr>
            <w:tcW w:w="1399" w:type="dxa"/>
          </w:tcPr>
          <w:p>
            <w:pPr>
              <w:tabs>
                <w:tab w:val="left" w:pos="3570"/>
              </w:tabs>
              <w:spacing w:line="360" w:lineRule="auto"/>
              <w:ind w:right="-21" w:rightChars="-10"/>
              <w:jc w:val="center"/>
              <w:rPr>
                <w:rFonts w:ascii="宋体" w:hAnsi="宋体"/>
              </w:rPr>
            </w:pPr>
          </w:p>
        </w:tc>
        <w:tc>
          <w:tcPr>
            <w:tcW w:w="872" w:type="dxa"/>
          </w:tcPr>
          <w:p>
            <w:pPr>
              <w:tabs>
                <w:tab w:val="left" w:pos="3570"/>
              </w:tabs>
              <w:spacing w:line="360" w:lineRule="auto"/>
              <w:ind w:right="-21" w:rightChars="-10"/>
              <w:jc w:val="center"/>
              <w:rPr>
                <w:rFonts w:ascii="宋体" w:hAnsi="宋体"/>
              </w:rPr>
            </w:pPr>
          </w:p>
        </w:tc>
        <w:tc>
          <w:tcPr>
            <w:tcW w:w="1362" w:type="dxa"/>
          </w:tcPr>
          <w:p>
            <w:pPr>
              <w:tabs>
                <w:tab w:val="left" w:pos="3570"/>
              </w:tabs>
              <w:spacing w:line="360" w:lineRule="auto"/>
              <w:ind w:right="-21" w:rightChars="-1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rPr>
            </w:pPr>
          </w:p>
        </w:tc>
        <w:tc>
          <w:tcPr>
            <w:tcW w:w="1226" w:type="dxa"/>
          </w:tcPr>
          <w:p>
            <w:pPr>
              <w:tabs>
                <w:tab w:val="left" w:pos="3570"/>
              </w:tabs>
              <w:spacing w:line="360" w:lineRule="auto"/>
              <w:ind w:right="-21" w:rightChars="-10"/>
              <w:jc w:val="center"/>
              <w:rPr>
                <w:rFonts w:ascii="宋体" w:hAnsi="宋体"/>
              </w:rPr>
            </w:pPr>
          </w:p>
        </w:tc>
        <w:tc>
          <w:tcPr>
            <w:tcW w:w="2955" w:type="dxa"/>
          </w:tcPr>
          <w:p>
            <w:pPr>
              <w:tabs>
                <w:tab w:val="left" w:pos="3570"/>
              </w:tabs>
              <w:spacing w:line="360" w:lineRule="auto"/>
              <w:ind w:right="-21" w:rightChars="-10"/>
              <w:jc w:val="center"/>
              <w:rPr>
                <w:rFonts w:ascii="宋体" w:hAnsi="宋体"/>
              </w:rPr>
            </w:pPr>
          </w:p>
        </w:tc>
        <w:tc>
          <w:tcPr>
            <w:tcW w:w="1399" w:type="dxa"/>
          </w:tcPr>
          <w:p>
            <w:pPr>
              <w:tabs>
                <w:tab w:val="left" w:pos="3570"/>
              </w:tabs>
              <w:spacing w:line="360" w:lineRule="auto"/>
              <w:ind w:right="-21" w:rightChars="-10"/>
              <w:jc w:val="center"/>
              <w:rPr>
                <w:rFonts w:ascii="宋体" w:hAnsi="宋体"/>
              </w:rPr>
            </w:pPr>
          </w:p>
        </w:tc>
        <w:tc>
          <w:tcPr>
            <w:tcW w:w="872" w:type="dxa"/>
          </w:tcPr>
          <w:p>
            <w:pPr>
              <w:tabs>
                <w:tab w:val="left" w:pos="3570"/>
              </w:tabs>
              <w:spacing w:line="360" w:lineRule="auto"/>
              <w:ind w:right="-21" w:rightChars="-10"/>
              <w:jc w:val="center"/>
              <w:rPr>
                <w:rFonts w:ascii="宋体" w:hAnsi="宋体"/>
              </w:rPr>
            </w:pPr>
          </w:p>
        </w:tc>
        <w:tc>
          <w:tcPr>
            <w:tcW w:w="1362" w:type="dxa"/>
          </w:tcPr>
          <w:p>
            <w:pPr>
              <w:tabs>
                <w:tab w:val="left" w:pos="3570"/>
              </w:tabs>
              <w:spacing w:line="360" w:lineRule="auto"/>
              <w:ind w:right="-21" w:rightChars="-1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rPr>
            </w:pPr>
          </w:p>
        </w:tc>
        <w:tc>
          <w:tcPr>
            <w:tcW w:w="1226" w:type="dxa"/>
          </w:tcPr>
          <w:p>
            <w:pPr>
              <w:tabs>
                <w:tab w:val="left" w:pos="3570"/>
              </w:tabs>
              <w:spacing w:line="360" w:lineRule="auto"/>
              <w:ind w:right="-21" w:rightChars="-10"/>
              <w:jc w:val="center"/>
              <w:rPr>
                <w:rFonts w:ascii="宋体" w:hAnsi="宋体"/>
              </w:rPr>
            </w:pPr>
          </w:p>
        </w:tc>
        <w:tc>
          <w:tcPr>
            <w:tcW w:w="2955" w:type="dxa"/>
          </w:tcPr>
          <w:p>
            <w:pPr>
              <w:tabs>
                <w:tab w:val="left" w:pos="3570"/>
              </w:tabs>
              <w:spacing w:line="360" w:lineRule="auto"/>
              <w:ind w:right="-21" w:rightChars="-10"/>
              <w:jc w:val="center"/>
              <w:rPr>
                <w:rFonts w:ascii="宋体" w:hAnsi="宋体"/>
              </w:rPr>
            </w:pPr>
          </w:p>
        </w:tc>
        <w:tc>
          <w:tcPr>
            <w:tcW w:w="1399" w:type="dxa"/>
          </w:tcPr>
          <w:p>
            <w:pPr>
              <w:tabs>
                <w:tab w:val="left" w:pos="3570"/>
              </w:tabs>
              <w:spacing w:line="360" w:lineRule="auto"/>
              <w:ind w:right="-21" w:rightChars="-10"/>
              <w:jc w:val="center"/>
              <w:rPr>
                <w:rFonts w:ascii="宋体" w:hAnsi="宋体"/>
              </w:rPr>
            </w:pPr>
          </w:p>
        </w:tc>
        <w:tc>
          <w:tcPr>
            <w:tcW w:w="872" w:type="dxa"/>
          </w:tcPr>
          <w:p>
            <w:pPr>
              <w:tabs>
                <w:tab w:val="left" w:pos="3570"/>
              </w:tabs>
              <w:spacing w:line="360" w:lineRule="auto"/>
              <w:ind w:right="-21" w:rightChars="-10"/>
              <w:jc w:val="center"/>
              <w:rPr>
                <w:rFonts w:ascii="宋体" w:hAnsi="宋体"/>
              </w:rPr>
            </w:pPr>
          </w:p>
        </w:tc>
        <w:tc>
          <w:tcPr>
            <w:tcW w:w="1362" w:type="dxa"/>
          </w:tcPr>
          <w:p>
            <w:pPr>
              <w:tabs>
                <w:tab w:val="left" w:pos="3570"/>
              </w:tabs>
              <w:spacing w:line="360" w:lineRule="auto"/>
              <w:ind w:right="-21" w:rightChars="-1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rPr>
            </w:pPr>
          </w:p>
        </w:tc>
        <w:tc>
          <w:tcPr>
            <w:tcW w:w="1226" w:type="dxa"/>
          </w:tcPr>
          <w:p>
            <w:pPr>
              <w:tabs>
                <w:tab w:val="left" w:pos="3570"/>
              </w:tabs>
              <w:spacing w:line="360" w:lineRule="auto"/>
              <w:ind w:right="-21" w:rightChars="-10"/>
              <w:jc w:val="center"/>
              <w:rPr>
                <w:rFonts w:ascii="宋体" w:hAnsi="宋体"/>
              </w:rPr>
            </w:pPr>
          </w:p>
        </w:tc>
        <w:tc>
          <w:tcPr>
            <w:tcW w:w="2955" w:type="dxa"/>
          </w:tcPr>
          <w:p>
            <w:pPr>
              <w:tabs>
                <w:tab w:val="left" w:pos="3570"/>
              </w:tabs>
              <w:spacing w:line="360" w:lineRule="auto"/>
              <w:ind w:right="-21" w:rightChars="-10"/>
              <w:jc w:val="center"/>
              <w:rPr>
                <w:rFonts w:ascii="宋体" w:hAnsi="宋体"/>
              </w:rPr>
            </w:pPr>
          </w:p>
        </w:tc>
        <w:tc>
          <w:tcPr>
            <w:tcW w:w="1399" w:type="dxa"/>
          </w:tcPr>
          <w:p>
            <w:pPr>
              <w:tabs>
                <w:tab w:val="left" w:pos="3570"/>
              </w:tabs>
              <w:spacing w:line="360" w:lineRule="auto"/>
              <w:ind w:right="-21" w:rightChars="-10"/>
              <w:jc w:val="center"/>
              <w:rPr>
                <w:rFonts w:ascii="宋体" w:hAnsi="宋体"/>
              </w:rPr>
            </w:pPr>
          </w:p>
        </w:tc>
        <w:tc>
          <w:tcPr>
            <w:tcW w:w="872" w:type="dxa"/>
          </w:tcPr>
          <w:p>
            <w:pPr>
              <w:tabs>
                <w:tab w:val="left" w:pos="3570"/>
              </w:tabs>
              <w:spacing w:line="360" w:lineRule="auto"/>
              <w:ind w:right="-21" w:rightChars="-10"/>
              <w:jc w:val="center"/>
              <w:rPr>
                <w:rFonts w:ascii="宋体" w:hAnsi="宋体"/>
              </w:rPr>
            </w:pPr>
          </w:p>
        </w:tc>
        <w:tc>
          <w:tcPr>
            <w:tcW w:w="1362" w:type="dxa"/>
          </w:tcPr>
          <w:p>
            <w:pPr>
              <w:tabs>
                <w:tab w:val="left" w:pos="3570"/>
              </w:tabs>
              <w:spacing w:line="360" w:lineRule="auto"/>
              <w:ind w:right="-21" w:rightChars="-10"/>
              <w:jc w:val="center"/>
              <w:rPr>
                <w:rFonts w:ascii="宋体" w:hAnsi="宋体"/>
              </w:rPr>
            </w:pPr>
          </w:p>
        </w:tc>
      </w:tr>
    </w:tbl>
    <w:p>
      <w:pPr>
        <w:tabs>
          <w:tab w:val="left" w:pos="3570"/>
        </w:tabs>
        <w:spacing w:line="360" w:lineRule="auto"/>
        <w:ind w:right="-21" w:rightChars="-10"/>
        <w:rPr>
          <w:rFonts w:ascii="宋体" w:hAnsi="宋体"/>
        </w:rPr>
      </w:pPr>
    </w:p>
    <w:p>
      <w:pPr>
        <w:tabs>
          <w:tab w:val="left" w:pos="3570"/>
        </w:tabs>
        <w:spacing w:line="360" w:lineRule="auto"/>
        <w:ind w:right="-21" w:rightChars="-10"/>
        <w:rPr>
          <w:rFonts w:ascii="宋体" w:hAnsi="宋体"/>
        </w:rPr>
      </w:pPr>
      <w:r>
        <w:rPr>
          <w:rFonts w:hint="eastAsia" w:ascii="宋体" w:hAnsi="宋体"/>
        </w:rPr>
        <w:t xml:space="preserve">报价代表签字：                            </w:t>
      </w:r>
    </w:p>
    <w:p>
      <w:pPr>
        <w:tabs>
          <w:tab w:val="left" w:pos="3570"/>
        </w:tabs>
        <w:spacing w:line="360" w:lineRule="auto"/>
        <w:ind w:right="-21" w:rightChars="-10"/>
        <w:rPr>
          <w:rFonts w:ascii="宋体" w:hAnsi="宋体"/>
        </w:rPr>
      </w:pPr>
    </w:p>
    <w:p>
      <w:pPr>
        <w:tabs>
          <w:tab w:val="left" w:pos="3570"/>
        </w:tabs>
        <w:spacing w:line="360" w:lineRule="auto"/>
        <w:ind w:right="-21" w:rightChars="-10"/>
        <w:rPr>
          <w:rFonts w:ascii="宋体" w:hAnsi="宋体"/>
        </w:rPr>
      </w:pPr>
      <w:r>
        <w:rPr>
          <w:rFonts w:hint="eastAsia" w:ascii="宋体" w:hAnsi="宋体"/>
        </w:rPr>
        <w:t xml:space="preserve">日        期：                            </w:t>
      </w:r>
    </w:p>
    <w:p>
      <w:pPr>
        <w:pStyle w:val="11"/>
        <w:spacing w:line="360" w:lineRule="auto"/>
        <w:ind w:firstLine="0" w:firstLineChars="0"/>
        <w:rPr>
          <w:rStyle w:val="27"/>
          <w:sz w:val="32"/>
          <w:szCs w:val="32"/>
        </w:rPr>
      </w:pPr>
    </w:p>
    <w:p>
      <w:pPr>
        <w:pStyle w:val="11"/>
        <w:spacing w:line="360" w:lineRule="auto"/>
        <w:ind w:firstLine="0" w:firstLineChars="0"/>
        <w:rPr>
          <w:rStyle w:val="27"/>
          <w:sz w:val="32"/>
          <w:szCs w:val="32"/>
        </w:rPr>
      </w:pPr>
    </w:p>
    <w:p>
      <w:pPr>
        <w:pStyle w:val="11"/>
        <w:spacing w:line="360" w:lineRule="auto"/>
        <w:ind w:firstLine="0" w:firstLineChars="0"/>
        <w:rPr>
          <w:rStyle w:val="27"/>
          <w:sz w:val="32"/>
          <w:szCs w:val="32"/>
        </w:rPr>
      </w:pPr>
    </w:p>
    <w:p>
      <w:pPr>
        <w:pStyle w:val="11"/>
        <w:spacing w:line="360" w:lineRule="auto"/>
        <w:ind w:firstLine="0" w:firstLineChars="0"/>
        <w:rPr>
          <w:rStyle w:val="27"/>
          <w:sz w:val="32"/>
          <w:szCs w:val="32"/>
        </w:rPr>
      </w:pPr>
    </w:p>
    <w:p>
      <w:pPr>
        <w:pStyle w:val="11"/>
        <w:spacing w:line="360" w:lineRule="auto"/>
        <w:ind w:firstLine="0" w:firstLineChars="0"/>
        <w:rPr>
          <w:rStyle w:val="27"/>
          <w:sz w:val="32"/>
          <w:szCs w:val="32"/>
        </w:rPr>
      </w:pPr>
    </w:p>
    <w:p>
      <w:pPr>
        <w:pStyle w:val="11"/>
        <w:spacing w:line="360" w:lineRule="auto"/>
        <w:ind w:firstLine="0" w:firstLineChars="0"/>
        <w:rPr>
          <w:rStyle w:val="27"/>
          <w:sz w:val="32"/>
          <w:szCs w:val="32"/>
        </w:rPr>
      </w:pPr>
    </w:p>
    <w:p>
      <w:pPr>
        <w:pStyle w:val="2"/>
        <w:rPr>
          <w:bCs/>
          <w:sz w:val="28"/>
          <w:szCs w:val="28"/>
        </w:rPr>
      </w:pPr>
      <w:r>
        <w:rPr>
          <w:rStyle w:val="27"/>
          <w:rFonts w:hint="eastAsia"/>
          <w:b/>
          <w:sz w:val="32"/>
          <w:szCs w:val="32"/>
        </w:rPr>
        <w:t>格式4   规格、技术参数偏离表</w:t>
      </w:r>
    </w:p>
    <w:p>
      <w:pPr>
        <w:pStyle w:val="11"/>
        <w:spacing w:line="360" w:lineRule="auto"/>
        <w:ind w:firstLine="417" w:firstLineChars="174"/>
      </w:pPr>
      <w:r>
        <w:rPr>
          <w:rFonts w:hint="eastAsia"/>
        </w:rPr>
        <w:t xml:space="preserve">报价人全称（加盖公章）                       </w:t>
      </w:r>
    </w:p>
    <w:p>
      <w:pPr>
        <w:pStyle w:val="11"/>
        <w:spacing w:line="360" w:lineRule="auto"/>
        <w:ind w:firstLine="417" w:firstLineChars="174"/>
      </w:pPr>
      <w:r>
        <w:rPr>
          <w:rFonts w:hint="eastAsia"/>
        </w:rPr>
        <w:t xml:space="preserve">合同包：           </w:t>
      </w:r>
    </w:p>
    <w:tbl>
      <w:tblPr>
        <w:tblStyle w:val="19"/>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18"/>
                <w:szCs w:val="18"/>
              </w:rPr>
            </w:pPr>
            <w:r>
              <w:rPr>
                <w:rFonts w:hint="eastAsia" w:ascii="宋体" w:hAnsi="宋体"/>
                <w:sz w:val="18"/>
                <w:szCs w:val="18"/>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18"/>
                <w:szCs w:val="18"/>
              </w:rPr>
            </w:pPr>
            <w:r>
              <w:rPr>
                <w:rFonts w:hint="eastAsia" w:ascii="宋体" w:hAnsi="宋体"/>
                <w:sz w:val="18"/>
                <w:szCs w:val="18"/>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11"/>
        <w:spacing w:line="360" w:lineRule="auto"/>
        <w:rPr>
          <w:rFonts w:hAnsi="宋体"/>
        </w:rPr>
      </w:pPr>
    </w:p>
    <w:p>
      <w:pPr>
        <w:pStyle w:val="11"/>
        <w:spacing w:line="360" w:lineRule="auto"/>
      </w:pPr>
    </w:p>
    <w:p>
      <w:pPr>
        <w:pStyle w:val="11"/>
        <w:spacing w:line="360" w:lineRule="auto"/>
        <w:ind w:firstLine="600" w:firstLineChars="250"/>
      </w:pPr>
      <w:r>
        <w:rPr>
          <w:rFonts w:hint="eastAsia"/>
        </w:rPr>
        <w:t xml:space="preserve">报价代表签字：                            </w:t>
      </w:r>
    </w:p>
    <w:p>
      <w:pPr>
        <w:pStyle w:val="11"/>
        <w:spacing w:line="360" w:lineRule="auto"/>
        <w:ind w:firstLine="600" w:firstLineChars="250"/>
      </w:pPr>
      <w:r>
        <w:rPr>
          <w:rFonts w:hint="eastAsia"/>
        </w:rPr>
        <w:t xml:space="preserve">日        期：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rPr>
          <w:bCs/>
          <w:sz w:val="28"/>
        </w:rPr>
      </w:pPr>
    </w:p>
    <w:p>
      <w:pPr>
        <w:pStyle w:val="2"/>
      </w:pPr>
      <w:r>
        <w:rPr>
          <w:rFonts w:hint="eastAsia"/>
        </w:rPr>
        <w:t>格式5   报名函</w:t>
      </w: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9" name="直接连接符 12"/>
                <wp:cNvGraphicFramePr/>
                <a:graphic xmlns:a="http://schemas.openxmlformats.org/drawingml/2006/main">
                  <a:graphicData uri="http://schemas.microsoft.com/office/word/2010/wordprocessingShape">
                    <wps:wsp>
                      <wps:cNvCnPr>
                        <a:cxnSpLocks noChangeShapeType="1"/>
                      </wps:cNvCnPr>
                      <wps:spPr>
                        <a:xfrm>
                          <a:off x="0" y="0"/>
                          <a:ext cx="2286000" cy="0"/>
                        </a:xfrm>
                        <a:prstGeom prst="line">
                          <a:avLst/>
                        </a:prstGeom>
                        <a:ln w="9525">
                          <a:solidFill>
                            <a:srgbClr val="000000"/>
                          </a:solidFill>
                        </a:ln>
                      </wps:spPr>
                      <wps:bodyPr/>
                    </wps:wsp>
                  </a:graphicData>
                </a:graphic>
              </wp:anchor>
            </w:drawing>
          </mc:Choice>
          <mc:Fallback>
            <w:pict>
              <v:line id="直接连接符 12" o:spid="_x0000_s1026" o:spt="20" style="position:absolute;left:0pt;margin-left:18pt;margin-top:0pt;height:0pt;width:180pt;z-index:25166745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C7LC9IAAAAEAQAADwAAAAAAAAABACAAAAAiAAAAZHJz&#10;L2Rvd25yZXYueG1sUEsBAhQAFAAAAAgAh07iQGsZbmnRAQAAiQMAAA4AAAAAAAAAAQAgAAAAIQEA&#10;AGRycy9lMm9Eb2MueG1sUEsFBgAAAAAGAAYAWQEAAGQFA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pStyle w:val="26"/>
        <w:rPr>
          <w:rFonts w:ascii="宋体"/>
          <w:sz w:val="24"/>
        </w:rPr>
      </w:pPr>
    </w:p>
    <w:p>
      <w:pPr>
        <w:pStyle w:val="26"/>
        <w:rPr>
          <w:rFonts w:ascii="宋体"/>
          <w:sz w:val="24"/>
        </w:rPr>
      </w:pPr>
    </w:p>
    <w:p>
      <w:pPr>
        <w:pStyle w:val="2"/>
      </w:pPr>
      <w:bookmarkStart w:id="0" w:name="_Toc2044"/>
      <w:bookmarkEnd w:id="0"/>
      <w:bookmarkStart w:id="1" w:name="_Toc25077285"/>
      <w:bookmarkEnd w:id="1"/>
      <w:bookmarkStart w:id="2" w:name="_Toc3828"/>
      <w:bookmarkEnd w:id="2"/>
      <w:bookmarkStart w:id="3" w:name="_Toc499039059"/>
      <w:bookmarkEnd w:id="3"/>
      <w:r>
        <w:rPr>
          <w:rFonts w:hint="eastAsia"/>
        </w:rPr>
        <w:t>格式6   磋商文件中★号条款证明材料</w:t>
      </w:r>
    </w:p>
    <w:p>
      <w:pPr>
        <w:spacing w:line="360" w:lineRule="auto"/>
        <w:rPr>
          <w:sz w:val="28"/>
        </w:rPr>
      </w:pPr>
      <w:r>
        <w:rPr>
          <w:rFonts w:hint="eastAsia"/>
          <w:sz w:val="28"/>
        </w:rPr>
        <w:t>致：嘉庚创新实验室资产采购管理室</w:t>
      </w:r>
    </w:p>
    <w:p>
      <w:pPr>
        <w:spacing w:line="360" w:lineRule="auto"/>
        <w:ind w:firstLine="480" w:firstLineChars="200"/>
        <w:rPr>
          <w:rFonts w:ascii="宋体" w:hAnsi="宋体" w:cs="宋体"/>
          <w:sz w:val="24"/>
        </w:rPr>
      </w:pPr>
      <w:r>
        <w:rPr>
          <w:rFonts w:hint="eastAsia" w:ascii="宋体" w:hAnsi="宋体" w:cs="宋体"/>
          <w:sz w:val="24"/>
        </w:rPr>
        <w:t xml:space="preserve">根据贵方  </w:t>
      </w:r>
      <w:r>
        <w:rPr>
          <w:rFonts w:hint="eastAsia" w:ascii="宋体" w:hAnsi="宋体" w:cs="宋体"/>
          <w:sz w:val="24"/>
          <w:u w:val="single"/>
        </w:rPr>
        <w:t xml:space="preserve">                </w:t>
      </w:r>
      <w:r>
        <w:rPr>
          <w:rFonts w:hint="eastAsia" w:ascii="宋体" w:hAnsi="宋体" w:cs="宋体"/>
          <w:sz w:val="24"/>
        </w:rPr>
        <w:t>采购项目的磋商邀请，我司对该项目的★号条款具体响应证明材料如下：</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2" w:firstLineChars="200"/>
        <w:rPr>
          <w:rFonts w:ascii="宋体" w:hAnsi="宋体" w:cs="宋体"/>
          <w:b/>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磋商响应供应商名称（全称并加盖公章）：           </w:t>
      </w:r>
    </w:p>
    <w:p>
      <w:pPr>
        <w:spacing w:line="360" w:lineRule="auto"/>
        <w:rPr>
          <w:rFonts w:ascii="宋体" w:hAnsi="宋体" w:cs="宋体"/>
          <w:sz w:val="24"/>
        </w:rPr>
      </w:pPr>
      <w:r>
        <w:rPr>
          <w:rFonts w:hint="eastAsia" w:ascii="宋体" w:hAnsi="宋体" w:cs="宋体"/>
          <w:sz w:val="24"/>
        </w:rPr>
        <w:t xml:space="preserve">磋商响应供应商代表签字:           </w:t>
      </w:r>
    </w:p>
    <w:p>
      <w:pPr>
        <w:spacing w:line="380" w:lineRule="exact"/>
        <w:rPr>
          <w:rFonts w:ascii="宋体" w:hAnsi="宋体" w:cs="宋体"/>
          <w:sz w:val="24"/>
        </w:rPr>
      </w:pPr>
      <w:r>
        <w:rPr>
          <w:rFonts w:hint="eastAsia" w:ascii="宋体" w:hAnsi="宋体" w:cs="宋体"/>
          <w:sz w:val="24"/>
        </w:rPr>
        <w:t>日  期：       年    月    日</w:t>
      </w: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spacing w:line="380" w:lineRule="exact"/>
        <w:rPr>
          <w:rFonts w:ascii="宋体" w:hAnsi="宋体" w:cs="宋体"/>
          <w:sz w:val="24"/>
        </w:rPr>
      </w:pPr>
    </w:p>
    <w:p>
      <w:pPr>
        <w:pStyle w:val="2"/>
        <w:ind w:firstLine="1928" w:firstLineChars="600"/>
        <w:jc w:val="both"/>
      </w:pPr>
      <w:r>
        <w:rPr>
          <w:rFonts w:hint="eastAsia"/>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9"/>
        <w:snapToGrid w:val="0"/>
        <w:spacing w:line="400" w:lineRule="exact"/>
        <w:ind w:firstLine="480" w:firstLineChars="200"/>
        <w:jc w:val="left"/>
        <w:rPr>
          <w:rFonts w:hAnsi="宋体"/>
          <w:sz w:val="24"/>
        </w:rPr>
      </w:pPr>
      <w:r>
        <w:rPr>
          <w:rFonts w:hint="eastAsia" w:hAnsi="宋体"/>
          <w:sz w:val="24"/>
        </w:rPr>
        <w:t>（报价人全称）法定代表人</w:t>
      </w:r>
      <w:r>
        <w:rPr>
          <w:rFonts w:hint="eastAsia" w:hAnsi="宋体"/>
          <w:sz w:val="24"/>
          <w:u w:val="single"/>
        </w:rPr>
        <w:t xml:space="preserve">        </w:t>
      </w:r>
      <w:r>
        <w:rPr>
          <w:rFonts w:hint="eastAsia" w:hAnsi="宋体"/>
          <w:sz w:val="24"/>
        </w:rPr>
        <w:t xml:space="preserve"> 授权  （报价人代表姓名）为报价人代表，代表本公司参加贵司组织的</w:t>
      </w:r>
      <w:r>
        <w:rPr>
          <w:rFonts w:hint="eastAsia" w:hAnsi="宋体"/>
          <w:sz w:val="24"/>
          <w:u w:val="single"/>
        </w:rPr>
        <w:t xml:space="preserve">          </w:t>
      </w:r>
      <w:r>
        <w:rPr>
          <w:rFonts w:hint="eastAsia" w:hAnsi="宋体"/>
          <w:sz w:val="24"/>
        </w:rPr>
        <w:t xml:space="preserve">  项目（招标编号 </w:t>
      </w:r>
      <w:r>
        <w:rPr>
          <w:rFonts w:hint="eastAsia" w:hAnsi="宋体"/>
          <w:sz w:val="24"/>
          <w:u w:val="single"/>
        </w:rPr>
        <w:t xml:space="preserve">     </w:t>
      </w:r>
      <w:r>
        <w:rPr>
          <w:rFonts w:hint="eastAsia" w:hAnsi="宋体"/>
          <w:sz w:val="24"/>
        </w:rPr>
        <w:t xml:space="preserve"> ）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9"/>
        <w:snapToGrid w:val="0"/>
        <w:spacing w:line="400" w:lineRule="exact"/>
        <w:ind w:firstLine="480" w:firstLineChars="200"/>
        <w:jc w:val="left"/>
        <w:rPr>
          <w:rFonts w:hAnsi="宋体"/>
          <w:sz w:val="24"/>
        </w:rPr>
      </w:pPr>
      <w:r>
        <w:rPr>
          <w:rFonts w:hint="eastAsia" w:hAnsi="宋体"/>
          <w:sz w:val="24"/>
        </w:rPr>
        <w:t>本授权书自出具之日起生效。</w:t>
      </w:r>
    </w:p>
    <w:p>
      <w:pPr>
        <w:pStyle w:val="9"/>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rPr>
        <w:t xml:space="preserve"> </w:t>
      </w:r>
      <w:r>
        <w:rPr>
          <w:rFonts w:hint="eastAsia"/>
          <w:sz w:val="24"/>
        </w:rPr>
        <w:t xml:space="preserve">    </w:t>
      </w:r>
      <w:r>
        <w:rPr>
          <w:sz w:val="24"/>
        </w:rPr>
        <w:t xml:space="preserve">         </w:t>
      </w:r>
      <w:r>
        <w:rPr>
          <w:rFonts w:hint="eastAsia"/>
          <w:sz w:val="24"/>
        </w:rPr>
        <w:t>性别：</w:t>
      </w:r>
      <w:r>
        <w:rPr>
          <w:sz w:val="24"/>
        </w:rPr>
        <w:t xml:space="preserve">     </w:t>
      </w:r>
      <w:r>
        <w:rPr>
          <w:rFonts w:hint="eastAsia"/>
          <w:sz w:val="24"/>
        </w:rPr>
        <w:t xml:space="preserve">  身份证号：</w:t>
      </w:r>
      <w:r>
        <w:rPr>
          <w:sz w:val="24"/>
        </w:rPr>
        <w:t xml:space="preserve">   </w:t>
      </w:r>
      <w:r>
        <w:rPr>
          <w:rFonts w:hint="eastAsia"/>
          <w:sz w:val="24"/>
        </w:rPr>
        <w:t xml:space="preserve">               </w:t>
      </w:r>
    </w:p>
    <w:p>
      <w:pPr>
        <w:spacing w:line="240" w:lineRule="atLeast"/>
        <w:rPr>
          <w:sz w:val="24"/>
        </w:rPr>
      </w:pPr>
      <w:r>
        <w:rPr>
          <w:rFonts w:hint="eastAsia"/>
          <w:sz w:val="24"/>
        </w:rPr>
        <w:t>单位：</w:t>
      </w:r>
      <w:r>
        <w:rPr>
          <w:sz w:val="24"/>
        </w:rPr>
        <w:t xml:space="preserve">                    </w:t>
      </w:r>
      <w:r>
        <w:rPr>
          <w:rFonts w:hint="eastAsia"/>
          <w:sz w:val="24"/>
        </w:rPr>
        <w:t>部门：</w:t>
      </w:r>
      <w:r>
        <w:rPr>
          <w:sz w:val="24"/>
        </w:rPr>
        <w:t xml:space="preserve">         </w:t>
      </w:r>
      <w:r>
        <w:rPr>
          <w:rFonts w:hint="eastAsia"/>
          <w:sz w:val="24"/>
        </w:rPr>
        <w:t xml:space="preserve">  职务：</w:t>
      </w:r>
      <w:r>
        <w:rPr>
          <w:sz w:val="24"/>
        </w:rPr>
        <w:t xml:space="preserve">   </w:t>
      </w:r>
      <w:r>
        <w:rPr>
          <w:rFonts w:hint="eastAsia"/>
          <w:sz w:val="24"/>
        </w:rPr>
        <w:t xml:space="preserve">         </w:t>
      </w:r>
      <w:r>
        <w:rPr>
          <w:sz w:val="24"/>
        </w:rPr>
        <w:t xml:space="preserve">      </w:t>
      </w:r>
    </w:p>
    <w:p>
      <w:pPr>
        <w:spacing w:line="240" w:lineRule="atLeast"/>
        <w:rPr>
          <w:sz w:val="24"/>
        </w:rPr>
      </w:pPr>
      <w:r>
        <w:rPr>
          <w:rFonts w:hint="eastAsia"/>
          <w:sz w:val="24"/>
        </w:rPr>
        <w:t xml:space="preserve">详细通讯地址：           </w:t>
      </w:r>
      <w:r>
        <w:rPr>
          <w:rFonts w:hint="eastAsia"/>
          <w:b/>
          <w:bCs/>
          <w:sz w:val="24"/>
        </w:rPr>
        <w:t xml:space="preserve"> </w:t>
      </w:r>
      <w:r>
        <w:rPr>
          <w:rFonts w:hint="eastAsia"/>
          <w:sz w:val="24"/>
        </w:rPr>
        <w:t>邮政编码</w:t>
      </w:r>
      <w:r>
        <w:rPr>
          <w:sz w:val="24"/>
        </w:rPr>
        <w:t>:</w:t>
      </w:r>
      <w:r>
        <w:rPr>
          <w:rFonts w:hint="eastAsia"/>
          <w:sz w:val="24"/>
        </w:rPr>
        <w:t xml:space="preserve">   </w:t>
      </w:r>
      <w:r>
        <w:rPr>
          <w:sz w:val="24"/>
        </w:rPr>
        <w:t xml:space="preserve"> </w:t>
      </w:r>
      <w:r>
        <w:rPr>
          <w:rFonts w:hint="eastAsia"/>
          <w:sz w:val="24"/>
        </w:rPr>
        <w:t xml:space="preserve">        电话：</w:t>
      </w:r>
      <w:r>
        <w:rPr>
          <w:sz w:val="24"/>
        </w:rPr>
        <w:t xml:space="preserve">    </w:t>
      </w:r>
      <w:r>
        <w:rPr>
          <w:rFonts w:hint="eastAsia"/>
          <w:sz w:val="24"/>
        </w:rPr>
        <w:t xml:space="preserve">     </w:t>
      </w:r>
      <w:r>
        <w:rPr>
          <w:sz w:val="24"/>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 xml:space="preserve">报价人（全称并加盖公章）：                    </w:t>
      </w:r>
    </w:p>
    <w:p>
      <w:pPr>
        <w:spacing w:line="400" w:lineRule="exact"/>
        <w:rPr>
          <w:sz w:val="24"/>
        </w:rPr>
      </w:pPr>
      <w:r>
        <w:rPr>
          <w:rFonts w:hint="eastAsia"/>
          <w:sz w:val="24"/>
        </w:rPr>
        <w:t xml:space="preserve">                                 法定代表人签字盖章：</w:t>
      </w:r>
      <w:r>
        <w:rPr>
          <w:sz w:val="24"/>
        </w:rPr>
        <w:t xml:space="preserve">     </w:t>
      </w:r>
      <w:r>
        <w:rPr>
          <w:rFonts w:hint="eastAsia"/>
          <w:sz w:val="24"/>
        </w:rPr>
        <w:t xml:space="preserve">         </w:t>
      </w:r>
      <w:r>
        <w:rPr>
          <w:sz w:val="24"/>
        </w:rPr>
        <w:t xml:space="preserve">       </w:t>
      </w:r>
    </w:p>
    <w:p>
      <w:pPr>
        <w:spacing w:line="400" w:lineRule="exact"/>
        <w:rPr>
          <w:sz w:val="24"/>
        </w:rPr>
      </w:pPr>
      <w:r>
        <w:rPr>
          <w:rFonts w:hint="eastAsia"/>
          <w:sz w:val="24"/>
        </w:rPr>
        <w:t xml:space="preserve">                                 日     期：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                </w:t>
      </w:r>
    </w:p>
    <w:p>
      <w:pPr>
        <w:spacing w:line="400" w:lineRule="exact"/>
        <w:rPr>
          <w:sz w:val="24"/>
        </w:rPr>
      </w:pPr>
      <w:r>
        <w:rPr>
          <w:rFonts w:hint="eastAsia"/>
          <w:sz w:val="24"/>
        </w:rPr>
        <w:t xml:space="preserve">                                 日     期：              </w:t>
      </w:r>
    </w:p>
    <w:p>
      <w:pPr>
        <w:spacing w:line="240" w:lineRule="atLeast"/>
        <w:rPr>
          <w:sz w:val="24"/>
        </w:rPr>
      </w:pPr>
      <w:r>
        <w:rPr>
          <w:rFonts w:hint="eastAsia"/>
          <w:sz w:val="24"/>
        </w:rPr>
        <w:t>附：被授权人身份证件</w:t>
      </w:r>
    </w:p>
    <w:p>
      <w:pPr>
        <w:pStyle w:val="37"/>
        <w:outlineLvl w:val="9"/>
        <w:rPr>
          <w:rFonts w:hAnsi="宋体"/>
          <w:sz w:val="32"/>
        </w:rPr>
      </w:pPr>
      <w:r>
        <w:rPr>
          <w:sz w:val="32"/>
        </w:rPr>
        <mc:AlternateContent>
          <mc:Choice Requires="wps">
            <w:drawing>
              <wp:anchor distT="0" distB="0" distL="114300" distR="114300" simplePos="0" relativeHeight="251668480"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21"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lim="0"/>
                          <a:headEnd type="none" w="med" len="med"/>
                          <a:tailEnd type="none" w="med" len="med"/>
                        </a:ln>
                      </wps:spPr>
                      <wps:txbx>
                        <w:txbxContent>
                          <w:p>
                            <w:pPr>
                              <w:snapToGrid w:val="0"/>
                              <w:spacing w:line="440" w:lineRule="exact"/>
                            </w:pPr>
                            <w:r>
                              <w:rPr>
                                <w:rFonts w:hint="eastAsia"/>
                              </w:rPr>
                              <w:t xml:space="preserve">    加盖投标人公章</w:t>
                            </w:r>
                          </w:p>
                        </w:txbxContent>
                      </wps:txbx>
                      <wps:bodyPr rot="0" vert="horz" wrap="square" lIns="91440" tIns="45720" rIns="91440" bIns="45720" anchor="t" anchorCtr="0"/>
                    </wps:wsp>
                  </a:graphicData>
                </a:graphic>
              </wp:anchor>
            </w:drawing>
          </mc:Choice>
          <mc:Fallback>
            <w:pict>
              <v:shape id="Text Box 26" o:spid="_x0000_s1026" o:spt="202" type="#_x0000_t202" style="position:absolute;left:0pt;margin-left:140.7pt;margin-top:20.25pt;height:51.05pt;width:143.3pt;z-index:251668480;mso-width-relative:page;mso-height-relative:page;" fillcolor="#FFFFFF" filled="t" stroked="t" coordsize="21600,21600" o:allowincell="f" o:gfxdata="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AtZZutkAAAAKAQAADwAAAAAAAAABACAAAAAiAAAAZHJzL2Rvd25yZXYu&#10;eG1sUEsBAhQAFAAAAAgAh07iQKsfm4IzAgAAogQAAA4AAAAAAAAAAQAgAAAAKAEAAGRycy9lMm9E&#10;b2MueG1sUEsFBgAAAAAGAAYAWQEAAM0FAAAAAA==&#10;">
                <v:fill on="t" focussize="0,0"/>
                <v:stroke color="#000000" miterlimit="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9"/>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37"/>
              <w:rPr>
                <w:sz w:val="32"/>
              </w:rPr>
            </w:pPr>
            <w:r>
              <w:rPr>
                <w:rFonts w:hint="eastAsia"/>
                <w:sz w:val="32"/>
              </w:rPr>
              <w:t>（</w:t>
            </w:r>
            <w:r>
              <w:rPr>
                <w:rFonts w:hint="eastAsia"/>
                <w:sz w:val="24"/>
              </w:rPr>
              <w:t>报价代表身份证正面复印件）</w:t>
            </w:r>
          </w:p>
        </w:tc>
        <w:tc>
          <w:tcPr>
            <w:tcW w:w="4522" w:type="dxa"/>
            <w:vAlign w:val="center"/>
          </w:tcPr>
          <w:p>
            <w:pPr>
              <w:pStyle w:val="37"/>
              <w:rPr>
                <w:sz w:val="32"/>
              </w:rPr>
            </w:pPr>
            <w:r>
              <w:rPr>
                <w:rFonts w:hint="eastAsia"/>
                <w:sz w:val="32"/>
              </w:rPr>
              <w:t>（</w:t>
            </w:r>
            <w:r>
              <w:rPr>
                <w:rFonts w:hint="eastAsia"/>
                <w:sz w:val="24"/>
              </w:rPr>
              <w:t>报价代表身份证反面复印件）</w:t>
            </w:r>
          </w:p>
        </w:tc>
      </w:tr>
    </w:tbl>
    <w:p>
      <w:pPr>
        <w:pStyle w:val="11"/>
        <w:spacing w:line="360" w:lineRule="auto"/>
      </w:pPr>
      <w:r>
        <w:rPr>
          <w:rFonts w:hint="eastAsia"/>
        </w:rPr>
        <w:t>　　</w:t>
      </w:r>
    </w:p>
    <w:p>
      <w:pPr>
        <w:spacing w:line="360" w:lineRule="auto"/>
        <w:rPr>
          <w:rFonts w:ascii="宋体"/>
          <w:sz w:val="24"/>
        </w:rPr>
      </w:pPr>
    </w:p>
    <w:p>
      <w:pPr>
        <w:pStyle w:val="2"/>
      </w:pPr>
      <w:r>
        <w:rPr>
          <w:rFonts w:hint="eastAsia"/>
        </w:rPr>
        <w:t>格式8   售后服务服务方案承诺</w:t>
      </w:r>
    </w:p>
    <w:p>
      <w:pPr>
        <w:spacing w:line="360" w:lineRule="auto"/>
        <w:ind w:firstLine="570"/>
        <w:rPr>
          <w:rFonts w:cs="宋体"/>
          <w:sz w:val="28"/>
          <w:szCs w:val="28"/>
        </w:rPr>
      </w:pPr>
    </w:p>
    <w:p>
      <w:pPr>
        <w:spacing w:line="360" w:lineRule="auto"/>
        <w:ind w:firstLine="570"/>
        <w:rPr>
          <w:sz w:val="28"/>
          <w:szCs w:val="28"/>
        </w:rPr>
      </w:pPr>
      <w:r>
        <w:rPr>
          <w:rFonts w:hint="eastAsia" w:cs="宋体"/>
          <w:sz w:val="28"/>
          <w:szCs w:val="28"/>
        </w:rPr>
        <w:t>致：嘉庚创新实验室资产采购管理室</w:t>
      </w:r>
    </w:p>
    <w:p>
      <w:pPr>
        <w:spacing w:line="360" w:lineRule="auto"/>
        <w:ind w:firstLine="570"/>
        <w:rPr>
          <w:sz w:val="28"/>
          <w:szCs w:val="28"/>
        </w:rPr>
      </w:pPr>
      <w:r>
        <w:rPr>
          <w:rFonts w:hint="eastAsia" w:cs="宋体"/>
          <w:sz w:val="28"/>
          <w:szCs w:val="28"/>
        </w:rPr>
        <w:t>　　根据贵方为　　　　　　　　　　采购项目的报价邀请，我司对该项目做出如下售后服务承诺：</w:t>
      </w:r>
    </w:p>
    <w:p>
      <w:pPr>
        <w:spacing w:line="360" w:lineRule="auto"/>
        <w:ind w:firstLine="570"/>
        <w:rPr>
          <w:sz w:val="28"/>
          <w:szCs w:val="28"/>
        </w:rPr>
      </w:pPr>
      <w:r>
        <w:rPr>
          <w:rFonts w:hint="eastAsia" w:cs="宋体"/>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sz w:val="28"/>
          <w:szCs w:val="28"/>
        </w:rPr>
      </w:pPr>
      <w:r>
        <w:rPr>
          <w:rFonts w:hint="eastAsia" w:cs="宋体"/>
          <w:sz w:val="28"/>
          <w:szCs w:val="28"/>
        </w:rPr>
        <w:t>报价人全称（加盖公章）：</w:t>
      </w:r>
    </w:p>
    <w:p>
      <w:pPr>
        <w:spacing w:line="360" w:lineRule="auto"/>
        <w:rPr>
          <w:sz w:val="30"/>
          <w:szCs w:val="30"/>
        </w:rPr>
      </w:pPr>
      <w:r>
        <w:rPr>
          <w:rFonts w:hint="eastAsia" w:cs="宋体"/>
          <w:sz w:val="28"/>
          <w:szCs w:val="28"/>
        </w:rPr>
        <w:t>　　　　　　　　　　　　　　　　年　　月　　日</w:t>
      </w:r>
    </w:p>
    <w:p>
      <w:pPr>
        <w:spacing w:line="360" w:lineRule="auto"/>
        <w:rPr>
          <w:bCs/>
          <w:sz w:val="28"/>
        </w:rPr>
      </w:pPr>
    </w:p>
    <w:p>
      <w:pPr>
        <w:pStyle w:val="2"/>
      </w:pPr>
      <w:r>
        <w:rPr>
          <w:rFonts w:hint="eastAsia"/>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rPr>
      </w:pPr>
      <w:r>
        <w:rPr>
          <w:rFonts w:hint="eastAsia" w:ascii="宋体" w:hAnsi="宋体"/>
          <w:sz w:val="24"/>
        </w:rPr>
        <w:t>投标人：（全称并加盖单位公章）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r>
        <w:rPr>
          <w:rFonts w:hint="eastAsia" w:ascii="宋体" w:hAnsi="宋体"/>
          <w:sz w:val="24"/>
        </w:rPr>
        <w:t>日期：年 月 日</w:t>
      </w:r>
    </w:p>
    <w:p>
      <w:pPr>
        <w:spacing w:line="360" w:lineRule="auto"/>
        <w:ind w:firstLine="5244" w:firstLineChars="2185"/>
        <w:rPr>
          <w:rFonts w:ascii="宋体" w:hAnsi="宋体"/>
          <w:sz w:val="24"/>
        </w:rPr>
      </w:pPr>
    </w:p>
    <w:p>
      <w:pPr>
        <w:widowControl/>
        <w:jc w:val="left"/>
        <w:rPr>
          <w:rFonts w:ascii="宋体" w:hAnsi="宋体"/>
          <w:sz w:val="24"/>
        </w:rPr>
      </w:pPr>
      <w:r>
        <w:br w:type="page"/>
      </w:r>
    </w:p>
    <w:p>
      <w:pPr>
        <w:pStyle w:val="2"/>
        <w:rPr>
          <w:sz w:val="36"/>
          <w:szCs w:val="21"/>
        </w:rPr>
      </w:pPr>
      <w:r>
        <w:rPr>
          <w:rFonts w:hint="eastAsia"/>
          <w:sz w:val="36"/>
          <w:szCs w:val="21"/>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adjustRightInd w:val="0"/>
        <w:snapToGrid w:val="0"/>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adjustRightInd w:val="0"/>
        <w:snapToGrid w:val="0"/>
        <w:spacing w:line="360" w:lineRule="auto"/>
        <w:ind w:firstLine="3360" w:firstLineChars="1400"/>
        <w:rPr>
          <w:rFonts w:ascii="宋体" w:hAnsi="宋体"/>
          <w:sz w:val="24"/>
        </w:rPr>
      </w:pPr>
      <w:r>
        <w:rPr>
          <w:rFonts w:hint="eastAsia" w:ascii="宋体" w:hAnsi="宋体"/>
          <w:sz w:val="24"/>
        </w:rPr>
        <w:t>20     年    月       日 </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Tw Cen MT">
    <w:altName w:val="Segoe Print"/>
    <w:panose1 w:val="020B0602020104020603"/>
    <w:charset w:val="00"/>
    <w:family w:val="swiss"/>
    <w:pitch w:val="default"/>
    <w:sig w:usb0="00000000" w:usb1="00000000" w:usb2="00000000" w:usb3="00000000" w:csb0="00000003" w:csb1="00000000"/>
  </w:font>
  <w:font w:name="Arial">
    <w:panose1 w:val="020B0604020202020204"/>
    <w:charset w:val="00"/>
    <w:family w:val="swiss"/>
    <w:pitch w:val="default"/>
    <w:sig w:usb0="E0002EFF" w:usb1="C000785B" w:usb2="00000009" w:usb3="00000000" w:csb0="400001FF" w:csb1="FFFF0000"/>
  </w:font>
  <w:font w:name="隶书">
    <w:altName w:val="微软雅黑"/>
    <w:panose1 w:val="020B0604020202020204"/>
    <w:charset w:val="86"/>
    <w:family w:val="modern"/>
    <w:pitch w:val="default"/>
    <w:sig w:usb0="00000000" w:usb1="00000000" w:usb2="00000010" w:usb3="00000000" w:csb0="00040000" w:csb1="00000000"/>
  </w:font>
  <w:font w:name="TimesNewRomanPSMT">
    <w:altName w:val="Times New Roman"/>
    <w:panose1 w:val="020B0604020202020204"/>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F05F26"/>
    <w:multiLevelType w:val="singleLevel"/>
    <w:tmpl w:val="DAF05F26"/>
    <w:lvl w:ilvl="0" w:tentative="0">
      <w:start w:val="2"/>
      <w:numFmt w:val="chineseCounting"/>
      <w:suff w:val="nothing"/>
      <w:lvlText w:val="（%1）"/>
      <w:lvlJc w:val="left"/>
      <w:rPr>
        <w:rFonts w:hint="eastAsia"/>
      </w:rPr>
    </w:lvl>
  </w:abstractNum>
  <w:abstractNum w:abstractNumId="1">
    <w:nsid w:val="EBD89028"/>
    <w:multiLevelType w:val="multilevel"/>
    <w:tmpl w:val="EBD89028"/>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2">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4">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037A357A"/>
    <w:multiLevelType w:val="singleLevel"/>
    <w:tmpl w:val="037A357A"/>
    <w:lvl w:ilvl="0" w:tentative="0">
      <w:start w:val="1"/>
      <w:numFmt w:val="decimal"/>
      <w:lvlText w:val="%1."/>
      <w:lvlJc w:val="left"/>
      <w:pPr>
        <w:tabs>
          <w:tab w:val="left" w:pos="312"/>
        </w:tabs>
      </w:pPr>
    </w:lvl>
  </w:abstractNum>
  <w:abstractNum w:abstractNumId="6">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677AE53"/>
    <w:multiLevelType w:val="singleLevel"/>
    <w:tmpl w:val="3677AE53"/>
    <w:lvl w:ilvl="0" w:tentative="0">
      <w:start w:val="1"/>
      <w:numFmt w:val="chineseCounting"/>
      <w:suff w:val="nothing"/>
      <w:lvlText w:val="（%1）"/>
      <w:lvlJc w:val="left"/>
      <w:pPr>
        <w:ind w:left="0" w:firstLine="0"/>
      </w:pPr>
      <w:rPr>
        <w:rFonts w:hint="eastAsia"/>
      </w:rPr>
    </w:lvl>
  </w:abstractNum>
  <w:abstractNum w:abstractNumId="8">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8"/>
  </w:num>
  <w:num w:numId="2">
    <w:abstractNumId w:val="6"/>
  </w:num>
  <w:num w:numId="3">
    <w:abstractNumId w:val="7"/>
  </w:num>
  <w:num w:numId="4">
    <w:abstractNumId w:val="4"/>
  </w:num>
  <w:num w:numId="5">
    <w:abstractNumId w:val="3"/>
  </w:num>
  <w:num w:numId="6">
    <w:abstractNumId w:val="2"/>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0NGM4N2YwYzg0NWI3YjM1NmQwN2Q0NGViMjY3YTcifQ=="/>
  </w:docVars>
  <w:rsids>
    <w:rsidRoot w:val="00D91EEA"/>
    <w:rsid w:val="00003469"/>
    <w:rsid w:val="000112F6"/>
    <w:rsid w:val="00030101"/>
    <w:rsid w:val="0003454E"/>
    <w:rsid w:val="00037C45"/>
    <w:rsid w:val="00040664"/>
    <w:rsid w:val="000432C3"/>
    <w:rsid w:val="0004650B"/>
    <w:rsid w:val="000506E4"/>
    <w:rsid w:val="00052BE1"/>
    <w:rsid w:val="0005409E"/>
    <w:rsid w:val="0005470B"/>
    <w:rsid w:val="000548AC"/>
    <w:rsid w:val="000575C7"/>
    <w:rsid w:val="000576E4"/>
    <w:rsid w:val="00066067"/>
    <w:rsid w:val="00066492"/>
    <w:rsid w:val="000766F7"/>
    <w:rsid w:val="00081648"/>
    <w:rsid w:val="0008524E"/>
    <w:rsid w:val="000873DD"/>
    <w:rsid w:val="00091F0D"/>
    <w:rsid w:val="000A2CD5"/>
    <w:rsid w:val="000B1CE1"/>
    <w:rsid w:val="000C2486"/>
    <w:rsid w:val="000C281F"/>
    <w:rsid w:val="000D18A3"/>
    <w:rsid w:val="000D1B5A"/>
    <w:rsid w:val="000D3B84"/>
    <w:rsid w:val="000D4877"/>
    <w:rsid w:val="000E2CA5"/>
    <w:rsid w:val="000F0BB0"/>
    <w:rsid w:val="000F2C6F"/>
    <w:rsid w:val="000F677C"/>
    <w:rsid w:val="00102896"/>
    <w:rsid w:val="00110C78"/>
    <w:rsid w:val="00121DFE"/>
    <w:rsid w:val="00122C60"/>
    <w:rsid w:val="00123BB3"/>
    <w:rsid w:val="001320B8"/>
    <w:rsid w:val="001367AF"/>
    <w:rsid w:val="00143149"/>
    <w:rsid w:val="00150608"/>
    <w:rsid w:val="0015593F"/>
    <w:rsid w:val="00160551"/>
    <w:rsid w:val="00161018"/>
    <w:rsid w:val="00161038"/>
    <w:rsid w:val="00161E26"/>
    <w:rsid w:val="00161E60"/>
    <w:rsid w:val="00162777"/>
    <w:rsid w:val="001671CF"/>
    <w:rsid w:val="001769A8"/>
    <w:rsid w:val="001779F2"/>
    <w:rsid w:val="00177D1B"/>
    <w:rsid w:val="00177D6B"/>
    <w:rsid w:val="00181AFF"/>
    <w:rsid w:val="001928DB"/>
    <w:rsid w:val="001972D4"/>
    <w:rsid w:val="00197926"/>
    <w:rsid w:val="001A0735"/>
    <w:rsid w:val="001A0AE2"/>
    <w:rsid w:val="001B17EC"/>
    <w:rsid w:val="001C1C22"/>
    <w:rsid w:val="001D018E"/>
    <w:rsid w:val="001D12D7"/>
    <w:rsid w:val="001D18B2"/>
    <w:rsid w:val="001D1C61"/>
    <w:rsid w:val="001D7775"/>
    <w:rsid w:val="001D78E0"/>
    <w:rsid w:val="001E1A25"/>
    <w:rsid w:val="001E6053"/>
    <w:rsid w:val="001E7678"/>
    <w:rsid w:val="001F1137"/>
    <w:rsid w:val="001F2628"/>
    <w:rsid w:val="001F4FD2"/>
    <w:rsid w:val="002018FC"/>
    <w:rsid w:val="00201D35"/>
    <w:rsid w:val="002158D5"/>
    <w:rsid w:val="002179D2"/>
    <w:rsid w:val="00222278"/>
    <w:rsid w:val="002228AC"/>
    <w:rsid w:val="00225EF0"/>
    <w:rsid w:val="00232BDA"/>
    <w:rsid w:val="00232FD3"/>
    <w:rsid w:val="002401F8"/>
    <w:rsid w:val="00241556"/>
    <w:rsid w:val="002419EA"/>
    <w:rsid w:val="00244AD1"/>
    <w:rsid w:val="00251392"/>
    <w:rsid w:val="00252A2E"/>
    <w:rsid w:val="00255C85"/>
    <w:rsid w:val="002631CF"/>
    <w:rsid w:val="0026445A"/>
    <w:rsid w:val="00264967"/>
    <w:rsid w:val="00266A32"/>
    <w:rsid w:val="002710AA"/>
    <w:rsid w:val="0028442B"/>
    <w:rsid w:val="00286F32"/>
    <w:rsid w:val="002902A8"/>
    <w:rsid w:val="002914F6"/>
    <w:rsid w:val="00291B85"/>
    <w:rsid w:val="002926B8"/>
    <w:rsid w:val="002928A6"/>
    <w:rsid w:val="00297313"/>
    <w:rsid w:val="00297B85"/>
    <w:rsid w:val="002A02B2"/>
    <w:rsid w:val="002A0A98"/>
    <w:rsid w:val="002A1028"/>
    <w:rsid w:val="002A11E8"/>
    <w:rsid w:val="002A4572"/>
    <w:rsid w:val="002A69FF"/>
    <w:rsid w:val="002A6D5D"/>
    <w:rsid w:val="002B1F2A"/>
    <w:rsid w:val="002B61B3"/>
    <w:rsid w:val="002B6478"/>
    <w:rsid w:val="002D118F"/>
    <w:rsid w:val="002D246B"/>
    <w:rsid w:val="002D3F1B"/>
    <w:rsid w:val="002D4F31"/>
    <w:rsid w:val="002F143B"/>
    <w:rsid w:val="002F3610"/>
    <w:rsid w:val="002F41CC"/>
    <w:rsid w:val="003009C8"/>
    <w:rsid w:val="003052AB"/>
    <w:rsid w:val="003128C9"/>
    <w:rsid w:val="003311ED"/>
    <w:rsid w:val="00347738"/>
    <w:rsid w:val="00353426"/>
    <w:rsid w:val="00353FA9"/>
    <w:rsid w:val="003567F8"/>
    <w:rsid w:val="00365562"/>
    <w:rsid w:val="00366086"/>
    <w:rsid w:val="00374F90"/>
    <w:rsid w:val="003751B3"/>
    <w:rsid w:val="00387C86"/>
    <w:rsid w:val="00391059"/>
    <w:rsid w:val="00391B7F"/>
    <w:rsid w:val="003A1F89"/>
    <w:rsid w:val="003A34FF"/>
    <w:rsid w:val="003A4BD3"/>
    <w:rsid w:val="003B7BED"/>
    <w:rsid w:val="003C7E07"/>
    <w:rsid w:val="003D437E"/>
    <w:rsid w:val="003D5522"/>
    <w:rsid w:val="003D6D68"/>
    <w:rsid w:val="003D76E6"/>
    <w:rsid w:val="003F0F1C"/>
    <w:rsid w:val="003F1A67"/>
    <w:rsid w:val="003F1CB1"/>
    <w:rsid w:val="003F239B"/>
    <w:rsid w:val="00413CF5"/>
    <w:rsid w:val="00414B3F"/>
    <w:rsid w:val="00422098"/>
    <w:rsid w:val="0042238E"/>
    <w:rsid w:val="0042246F"/>
    <w:rsid w:val="0042250F"/>
    <w:rsid w:val="004364DE"/>
    <w:rsid w:val="00437C2C"/>
    <w:rsid w:val="004414C1"/>
    <w:rsid w:val="00445D8C"/>
    <w:rsid w:val="00450B1E"/>
    <w:rsid w:val="00460356"/>
    <w:rsid w:val="004720A0"/>
    <w:rsid w:val="00477B45"/>
    <w:rsid w:val="004802C2"/>
    <w:rsid w:val="00484A82"/>
    <w:rsid w:val="00485111"/>
    <w:rsid w:val="00490673"/>
    <w:rsid w:val="00490832"/>
    <w:rsid w:val="004917F9"/>
    <w:rsid w:val="0049368D"/>
    <w:rsid w:val="004A19B5"/>
    <w:rsid w:val="004A6975"/>
    <w:rsid w:val="004B1246"/>
    <w:rsid w:val="004C0DDD"/>
    <w:rsid w:val="004C2F34"/>
    <w:rsid w:val="004C7221"/>
    <w:rsid w:val="004D013C"/>
    <w:rsid w:val="004D6C85"/>
    <w:rsid w:val="004F4FD9"/>
    <w:rsid w:val="00515D90"/>
    <w:rsid w:val="00524A38"/>
    <w:rsid w:val="0052693E"/>
    <w:rsid w:val="00527663"/>
    <w:rsid w:val="0053770C"/>
    <w:rsid w:val="00540D3F"/>
    <w:rsid w:val="00541651"/>
    <w:rsid w:val="0054473A"/>
    <w:rsid w:val="00544DA2"/>
    <w:rsid w:val="00562F00"/>
    <w:rsid w:val="00562FC3"/>
    <w:rsid w:val="00563B05"/>
    <w:rsid w:val="005778AF"/>
    <w:rsid w:val="00581B96"/>
    <w:rsid w:val="005829B5"/>
    <w:rsid w:val="0058305B"/>
    <w:rsid w:val="0059004C"/>
    <w:rsid w:val="00592151"/>
    <w:rsid w:val="005A2B9C"/>
    <w:rsid w:val="005A33DD"/>
    <w:rsid w:val="005A3908"/>
    <w:rsid w:val="005A4CEB"/>
    <w:rsid w:val="005A5545"/>
    <w:rsid w:val="005B05BE"/>
    <w:rsid w:val="005C1340"/>
    <w:rsid w:val="005D029F"/>
    <w:rsid w:val="005E2C5D"/>
    <w:rsid w:val="005E33B3"/>
    <w:rsid w:val="005E4F83"/>
    <w:rsid w:val="005E68AD"/>
    <w:rsid w:val="005E7253"/>
    <w:rsid w:val="005F4678"/>
    <w:rsid w:val="005F4BFA"/>
    <w:rsid w:val="005F5B7A"/>
    <w:rsid w:val="00602EA1"/>
    <w:rsid w:val="00603E1D"/>
    <w:rsid w:val="0061242B"/>
    <w:rsid w:val="00614257"/>
    <w:rsid w:val="00620CE0"/>
    <w:rsid w:val="00635F05"/>
    <w:rsid w:val="0064604F"/>
    <w:rsid w:val="006527DC"/>
    <w:rsid w:val="0065433C"/>
    <w:rsid w:val="00661645"/>
    <w:rsid w:val="006617D0"/>
    <w:rsid w:val="006627BA"/>
    <w:rsid w:val="00664C95"/>
    <w:rsid w:val="00670151"/>
    <w:rsid w:val="0068349E"/>
    <w:rsid w:val="0068664D"/>
    <w:rsid w:val="006918E0"/>
    <w:rsid w:val="006935A2"/>
    <w:rsid w:val="00693F92"/>
    <w:rsid w:val="00694B62"/>
    <w:rsid w:val="006969E9"/>
    <w:rsid w:val="006A2741"/>
    <w:rsid w:val="006B610C"/>
    <w:rsid w:val="006B61C7"/>
    <w:rsid w:val="006B68AA"/>
    <w:rsid w:val="006C4B09"/>
    <w:rsid w:val="006D091B"/>
    <w:rsid w:val="006D664A"/>
    <w:rsid w:val="006D7BDC"/>
    <w:rsid w:val="006E10B2"/>
    <w:rsid w:val="006E1595"/>
    <w:rsid w:val="006F02A3"/>
    <w:rsid w:val="006F7041"/>
    <w:rsid w:val="006F7EBA"/>
    <w:rsid w:val="007002A4"/>
    <w:rsid w:val="00705611"/>
    <w:rsid w:val="00706BB1"/>
    <w:rsid w:val="00707538"/>
    <w:rsid w:val="0071064B"/>
    <w:rsid w:val="00712136"/>
    <w:rsid w:val="007238D0"/>
    <w:rsid w:val="0072506A"/>
    <w:rsid w:val="0072657F"/>
    <w:rsid w:val="007409E8"/>
    <w:rsid w:val="00741988"/>
    <w:rsid w:val="007428CC"/>
    <w:rsid w:val="00746B67"/>
    <w:rsid w:val="0075371A"/>
    <w:rsid w:val="0076181A"/>
    <w:rsid w:val="007633B5"/>
    <w:rsid w:val="00764EC4"/>
    <w:rsid w:val="007662C3"/>
    <w:rsid w:val="0077233C"/>
    <w:rsid w:val="0077615E"/>
    <w:rsid w:val="007812DB"/>
    <w:rsid w:val="007900C6"/>
    <w:rsid w:val="00794DA7"/>
    <w:rsid w:val="007955C8"/>
    <w:rsid w:val="007A0C83"/>
    <w:rsid w:val="007B54C2"/>
    <w:rsid w:val="007B6365"/>
    <w:rsid w:val="007C29A2"/>
    <w:rsid w:val="007C75A8"/>
    <w:rsid w:val="007D56EC"/>
    <w:rsid w:val="007D6A13"/>
    <w:rsid w:val="007E262A"/>
    <w:rsid w:val="007E2672"/>
    <w:rsid w:val="007E3391"/>
    <w:rsid w:val="007E4A81"/>
    <w:rsid w:val="007E4E41"/>
    <w:rsid w:val="007F28A8"/>
    <w:rsid w:val="007F5A4A"/>
    <w:rsid w:val="00805CDE"/>
    <w:rsid w:val="0082525F"/>
    <w:rsid w:val="00840C70"/>
    <w:rsid w:val="00847238"/>
    <w:rsid w:val="00856A02"/>
    <w:rsid w:val="00860577"/>
    <w:rsid w:val="00864B89"/>
    <w:rsid w:val="0086620B"/>
    <w:rsid w:val="008667EA"/>
    <w:rsid w:val="008771E4"/>
    <w:rsid w:val="00884EC8"/>
    <w:rsid w:val="008860AF"/>
    <w:rsid w:val="00886F5B"/>
    <w:rsid w:val="0089053E"/>
    <w:rsid w:val="00892C3E"/>
    <w:rsid w:val="00893D9C"/>
    <w:rsid w:val="008944BF"/>
    <w:rsid w:val="008A2CB2"/>
    <w:rsid w:val="008A4491"/>
    <w:rsid w:val="008A74D9"/>
    <w:rsid w:val="008B1B1E"/>
    <w:rsid w:val="008B56C4"/>
    <w:rsid w:val="008C044E"/>
    <w:rsid w:val="008C0C15"/>
    <w:rsid w:val="008C5DF2"/>
    <w:rsid w:val="008D3199"/>
    <w:rsid w:val="008D373A"/>
    <w:rsid w:val="008D68C0"/>
    <w:rsid w:val="008E4C5B"/>
    <w:rsid w:val="008E6E6D"/>
    <w:rsid w:val="008E77F7"/>
    <w:rsid w:val="008F5CE1"/>
    <w:rsid w:val="008F6206"/>
    <w:rsid w:val="008F624F"/>
    <w:rsid w:val="00900BEF"/>
    <w:rsid w:val="00915F8B"/>
    <w:rsid w:val="009176C2"/>
    <w:rsid w:val="00917768"/>
    <w:rsid w:val="00925060"/>
    <w:rsid w:val="00942D9C"/>
    <w:rsid w:val="00943ADF"/>
    <w:rsid w:val="0094446D"/>
    <w:rsid w:val="009451EE"/>
    <w:rsid w:val="009515E9"/>
    <w:rsid w:val="00956940"/>
    <w:rsid w:val="009571B1"/>
    <w:rsid w:val="0096043D"/>
    <w:rsid w:val="009609F8"/>
    <w:rsid w:val="00961C1D"/>
    <w:rsid w:val="00963A02"/>
    <w:rsid w:val="009647E8"/>
    <w:rsid w:val="00972801"/>
    <w:rsid w:val="009806A9"/>
    <w:rsid w:val="00980881"/>
    <w:rsid w:val="00980AC0"/>
    <w:rsid w:val="00984774"/>
    <w:rsid w:val="009852B5"/>
    <w:rsid w:val="0098539B"/>
    <w:rsid w:val="00985970"/>
    <w:rsid w:val="00993490"/>
    <w:rsid w:val="0099502C"/>
    <w:rsid w:val="009977F4"/>
    <w:rsid w:val="00997AC8"/>
    <w:rsid w:val="00997D33"/>
    <w:rsid w:val="009A337A"/>
    <w:rsid w:val="009A5F3A"/>
    <w:rsid w:val="009B1BC5"/>
    <w:rsid w:val="009B282B"/>
    <w:rsid w:val="009C41A9"/>
    <w:rsid w:val="009C45D3"/>
    <w:rsid w:val="009C503C"/>
    <w:rsid w:val="009C6361"/>
    <w:rsid w:val="009C6C4E"/>
    <w:rsid w:val="009D216F"/>
    <w:rsid w:val="009D22D4"/>
    <w:rsid w:val="009D2C51"/>
    <w:rsid w:val="009D584F"/>
    <w:rsid w:val="009E0595"/>
    <w:rsid w:val="009E0D2E"/>
    <w:rsid w:val="009E0FF3"/>
    <w:rsid w:val="009E22C1"/>
    <w:rsid w:val="009E4D8C"/>
    <w:rsid w:val="009E54A2"/>
    <w:rsid w:val="009E7C24"/>
    <w:rsid w:val="00A02AED"/>
    <w:rsid w:val="00A05AFB"/>
    <w:rsid w:val="00A07C4E"/>
    <w:rsid w:val="00A10009"/>
    <w:rsid w:val="00A12796"/>
    <w:rsid w:val="00A15627"/>
    <w:rsid w:val="00A200CF"/>
    <w:rsid w:val="00A32381"/>
    <w:rsid w:val="00A36E6D"/>
    <w:rsid w:val="00A41638"/>
    <w:rsid w:val="00A41BD2"/>
    <w:rsid w:val="00A5223B"/>
    <w:rsid w:val="00A60BE3"/>
    <w:rsid w:val="00A623CD"/>
    <w:rsid w:val="00A729D2"/>
    <w:rsid w:val="00A739A9"/>
    <w:rsid w:val="00A770D0"/>
    <w:rsid w:val="00A77F25"/>
    <w:rsid w:val="00A90F7B"/>
    <w:rsid w:val="00A9359D"/>
    <w:rsid w:val="00A96073"/>
    <w:rsid w:val="00AA2973"/>
    <w:rsid w:val="00AA2EF7"/>
    <w:rsid w:val="00AA4740"/>
    <w:rsid w:val="00AA5BC7"/>
    <w:rsid w:val="00AA791B"/>
    <w:rsid w:val="00AB03FB"/>
    <w:rsid w:val="00AB2C5B"/>
    <w:rsid w:val="00AB3DCF"/>
    <w:rsid w:val="00AB654B"/>
    <w:rsid w:val="00AB7C0E"/>
    <w:rsid w:val="00AC2017"/>
    <w:rsid w:val="00AC2FD7"/>
    <w:rsid w:val="00AC300D"/>
    <w:rsid w:val="00AC3520"/>
    <w:rsid w:val="00AC6685"/>
    <w:rsid w:val="00AC7E19"/>
    <w:rsid w:val="00AD1CB6"/>
    <w:rsid w:val="00AD2E36"/>
    <w:rsid w:val="00AD30A6"/>
    <w:rsid w:val="00AD47B3"/>
    <w:rsid w:val="00AE1AA6"/>
    <w:rsid w:val="00AE1F23"/>
    <w:rsid w:val="00AE73E0"/>
    <w:rsid w:val="00B07E6A"/>
    <w:rsid w:val="00B120F7"/>
    <w:rsid w:val="00B12E8B"/>
    <w:rsid w:val="00B23C47"/>
    <w:rsid w:val="00B25646"/>
    <w:rsid w:val="00B32162"/>
    <w:rsid w:val="00B33864"/>
    <w:rsid w:val="00B34C8C"/>
    <w:rsid w:val="00B427EB"/>
    <w:rsid w:val="00B42FAC"/>
    <w:rsid w:val="00B46381"/>
    <w:rsid w:val="00B47658"/>
    <w:rsid w:val="00B50727"/>
    <w:rsid w:val="00B50A52"/>
    <w:rsid w:val="00B548F4"/>
    <w:rsid w:val="00B62981"/>
    <w:rsid w:val="00B81826"/>
    <w:rsid w:val="00B87372"/>
    <w:rsid w:val="00B94534"/>
    <w:rsid w:val="00B94837"/>
    <w:rsid w:val="00B97339"/>
    <w:rsid w:val="00B97DFF"/>
    <w:rsid w:val="00BB0111"/>
    <w:rsid w:val="00BB06EE"/>
    <w:rsid w:val="00BB4200"/>
    <w:rsid w:val="00BB6694"/>
    <w:rsid w:val="00BC5825"/>
    <w:rsid w:val="00BC6988"/>
    <w:rsid w:val="00BC706A"/>
    <w:rsid w:val="00BD3CA3"/>
    <w:rsid w:val="00BE13EE"/>
    <w:rsid w:val="00BE4430"/>
    <w:rsid w:val="00BE7785"/>
    <w:rsid w:val="00BF1503"/>
    <w:rsid w:val="00BF5778"/>
    <w:rsid w:val="00C161FB"/>
    <w:rsid w:val="00C16B67"/>
    <w:rsid w:val="00C300FF"/>
    <w:rsid w:val="00C3229A"/>
    <w:rsid w:val="00C35517"/>
    <w:rsid w:val="00C376A1"/>
    <w:rsid w:val="00C55CD7"/>
    <w:rsid w:val="00C637E0"/>
    <w:rsid w:val="00C65804"/>
    <w:rsid w:val="00C65EAC"/>
    <w:rsid w:val="00C7074E"/>
    <w:rsid w:val="00C73A85"/>
    <w:rsid w:val="00C766D3"/>
    <w:rsid w:val="00C819B8"/>
    <w:rsid w:val="00C8218F"/>
    <w:rsid w:val="00C83877"/>
    <w:rsid w:val="00C84137"/>
    <w:rsid w:val="00C87235"/>
    <w:rsid w:val="00C93315"/>
    <w:rsid w:val="00C965B8"/>
    <w:rsid w:val="00CA050E"/>
    <w:rsid w:val="00CA3A02"/>
    <w:rsid w:val="00CA7F6F"/>
    <w:rsid w:val="00CB1E6F"/>
    <w:rsid w:val="00CB350A"/>
    <w:rsid w:val="00CC27E1"/>
    <w:rsid w:val="00CD10BD"/>
    <w:rsid w:val="00CD7D56"/>
    <w:rsid w:val="00CE080E"/>
    <w:rsid w:val="00CE0C29"/>
    <w:rsid w:val="00CF15E0"/>
    <w:rsid w:val="00CF38B0"/>
    <w:rsid w:val="00D003C1"/>
    <w:rsid w:val="00D02BCA"/>
    <w:rsid w:val="00D03FBC"/>
    <w:rsid w:val="00D052ED"/>
    <w:rsid w:val="00D05C55"/>
    <w:rsid w:val="00D070CB"/>
    <w:rsid w:val="00D12839"/>
    <w:rsid w:val="00D139B1"/>
    <w:rsid w:val="00D32F0A"/>
    <w:rsid w:val="00D669B2"/>
    <w:rsid w:val="00D67481"/>
    <w:rsid w:val="00D676D4"/>
    <w:rsid w:val="00D67AF8"/>
    <w:rsid w:val="00D734BD"/>
    <w:rsid w:val="00D73872"/>
    <w:rsid w:val="00D738D7"/>
    <w:rsid w:val="00D75D5A"/>
    <w:rsid w:val="00D83F8B"/>
    <w:rsid w:val="00D83FE4"/>
    <w:rsid w:val="00D86698"/>
    <w:rsid w:val="00D9027F"/>
    <w:rsid w:val="00D90E6A"/>
    <w:rsid w:val="00D911C1"/>
    <w:rsid w:val="00D9161F"/>
    <w:rsid w:val="00D91EEA"/>
    <w:rsid w:val="00D96BE9"/>
    <w:rsid w:val="00DA0BDC"/>
    <w:rsid w:val="00DA25C5"/>
    <w:rsid w:val="00DA318A"/>
    <w:rsid w:val="00DA3570"/>
    <w:rsid w:val="00DB04E2"/>
    <w:rsid w:val="00DB06B5"/>
    <w:rsid w:val="00DB45E0"/>
    <w:rsid w:val="00DC427D"/>
    <w:rsid w:val="00DC6ECB"/>
    <w:rsid w:val="00DC7E1D"/>
    <w:rsid w:val="00DD3AC3"/>
    <w:rsid w:val="00DD3E18"/>
    <w:rsid w:val="00DE0736"/>
    <w:rsid w:val="00DE6EAA"/>
    <w:rsid w:val="00DF6A89"/>
    <w:rsid w:val="00E025C3"/>
    <w:rsid w:val="00E07E5D"/>
    <w:rsid w:val="00E11EB5"/>
    <w:rsid w:val="00E14E30"/>
    <w:rsid w:val="00E22D12"/>
    <w:rsid w:val="00E25B7E"/>
    <w:rsid w:val="00E353E3"/>
    <w:rsid w:val="00E45E09"/>
    <w:rsid w:val="00E50756"/>
    <w:rsid w:val="00E5280E"/>
    <w:rsid w:val="00E5370E"/>
    <w:rsid w:val="00E6297B"/>
    <w:rsid w:val="00E6430B"/>
    <w:rsid w:val="00E66488"/>
    <w:rsid w:val="00E67C7F"/>
    <w:rsid w:val="00E700AE"/>
    <w:rsid w:val="00E7097C"/>
    <w:rsid w:val="00E72047"/>
    <w:rsid w:val="00E72215"/>
    <w:rsid w:val="00E749D3"/>
    <w:rsid w:val="00E76177"/>
    <w:rsid w:val="00E77A72"/>
    <w:rsid w:val="00E82414"/>
    <w:rsid w:val="00E84DB8"/>
    <w:rsid w:val="00E917ED"/>
    <w:rsid w:val="00E9467E"/>
    <w:rsid w:val="00E956EF"/>
    <w:rsid w:val="00EA1B6F"/>
    <w:rsid w:val="00EA244A"/>
    <w:rsid w:val="00EB0A36"/>
    <w:rsid w:val="00EB1520"/>
    <w:rsid w:val="00EB305C"/>
    <w:rsid w:val="00EB32A0"/>
    <w:rsid w:val="00EB5332"/>
    <w:rsid w:val="00EB6469"/>
    <w:rsid w:val="00EB7265"/>
    <w:rsid w:val="00EC05E8"/>
    <w:rsid w:val="00EC2878"/>
    <w:rsid w:val="00EC44F6"/>
    <w:rsid w:val="00ED47A6"/>
    <w:rsid w:val="00ED6970"/>
    <w:rsid w:val="00ED6AB3"/>
    <w:rsid w:val="00ED71B9"/>
    <w:rsid w:val="00EE024C"/>
    <w:rsid w:val="00EE2745"/>
    <w:rsid w:val="00EE3EAF"/>
    <w:rsid w:val="00EE6936"/>
    <w:rsid w:val="00EF25E4"/>
    <w:rsid w:val="00EF591D"/>
    <w:rsid w:val="00F00B40"/>
    <w:rsid w:val="00F052B5"/>
    <w:rsid w:val="00F056C3"/>
    <w:rsid w:val="00F0798A"/>
    <w:rsid w:val="00F10069"/>
    <w:rsid w:val="00F108CD"/>
    <w:rsid w:val="00F10F9B"/>
    <w:rsid w:val="00F12CCD"/>
    <w:rsid w:val="00F133A3"/>
    <w:rsid w:val="00F14487"/>
    <w:rsid w:val="00F240B0"/>
    <w:rsid w:val="00F25E8A"/>
    <w:rsid w:val="00F34482"/>
    <w:rsid w:val="00F4097A"/>
    <w:rsid w:val="00F43911"/>
    <w:rsid w:val="00F57391"/>
    <w:rsid w:val="00F64496"/>
    <w:rsid w:val="00F64731"/>
    <w:rsid w:val="00F70DF7"/>
    <w:rsid w:val="00F71246"/>
    <w:rsid w:val="00F71BB4"/>
    <w:rsid w:val="00F721BD"/>
    <w:rsid w:val="00F75858"/>
    <w:rsid w:val="00F80759"/>
    <w:rsid w:val="00F81326"/>
    <w:rsid w:val="00F82AE9"/>
    <w:rsid w:val="00F82F0F"/>
    <w:rsid w:val="00F83029"/>
    <w:rsid w:val="00F8314B"/>
    <w:rsid w:val="00F8491C"/>
    <w:rsid w:val="00FA016D"/>
    <w:rsid w:val="00FA243A"/>
    <w:rsid w:val="00FB3252"/>
    <w:rsid w:val="00FB3543"/>
    <w:rsid w:val="00FC27C1"/>
    <w:rsid w:val="00FC4AE7"/>
    <w:rsid w:val="00FC52B6"/>
    <w:rsid w:val="00FD2493"/>
    <w:rsid w:val="00FD2ECA"/>
    <w:rsid w:val="00FD483C"/>
    <w:rsid w:val="00FD4CDA"/>
    <w:rsid w:val="00FD6965"/>
    <w:rsid w:val="00FE2D21"/>
    <w:rsid w:val="00FF1213"/>
    <w:rsid w:val="00FF7DCE"/>
    <w:rsid w:val="014B5EED"/>
    <w:rsid w:val="08447022"/>
    <w:rsid w:val="08860159"/>
    <w:rsid w:val="09503A55"/>
    <w:rsid w:val="0DDC11DF"/>
    <w:rsid w:val="0FEF5478"/>
    <w:rsid w:val="118A6021"/>
    <w:rsid w:val="11A3248D"/>
    <w:rsid w:val="175C657B"/>
    <w:rsid w:val="19CD5BEA"/>
    <w:rsid w:val="19CF0C5E"/>
    <w:rsid w:val="1FD46549"/>
    <w:rsid w:val="22C97BAA"/>
    <w:rsid w:val="2F6E1AC6"/>
    <w:rsid w:val="2FCA3D35"/>
    <w:rsid w:val="31347D36"/>
    <w:rsid w:val="37C86B55"/>
    <w:rsid w:val="41A7113D"/>
    <w:rsid w:val="47B42D6F"/>
    <w:rsid w:val="48510646"/>
    <w:rsid w:val="4A6174CB"/>
    <w:rsid w:val="508B6B33"/>
    <w:rsid w:val="5E916F5F"/>
    <w:rsid w:val="677017B9"/>
    <w:rsid w:val="6F763FBA"/>
    <w:rsid w:val="770070C1"/>
    <w:rsid w:val="7AD57B0C"/>
    <w:rsid w:val="7FBE5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0" w:name="heading 3"/>
    <w:lsdException w:qFormat="1" w:uiPriority="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4"/>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51"/>
    <w:semiHidden/>
    <w:unhideWhenUsed/>
    <w:qFormat/>
    <w:uiPriority w:val="99"/>
    <w:pPr>
      <w:jc w:val="left"/>
    </w:pPr>
  </w:style>
  <w:style w:type="paragraph" w:styleId="7">
    <w:name w:val="Body Text"/>
    <w:basedOn w:val="1"/>
    <w:link w:val="54"/>
    <w:qFormat/>
    <w:uiPriority w:val="0"/>
    <w:pPr>
      <w:spacing w:after="120"/>
    </w:pPr>
  </w:style>
  <w:style w:type="paragraph" w:styleId="8">
    <w:name w:val="Body Text Indent"/>
    <w:basedOn w:val="1"/>
    <w:link w:val="39"/>
    <w:unhideWhenUsed/>
    <w:qFormat/>
    <w:uiPriority w:val="99"/>
    <w:pPr>
      <w:widowControl/>
      <w:adjustRightInd w:val="0"/>
      <w:snapToGrid w:val="0"/>
      <w:spacing w:after="120"/>
      <w:ind w:left="420" w:leftChars="200"/>
      <w:jc w:val="left"/>
    </w:pPr>
    <w:rPr>
      <w:rFonts w:ascii="Tahoma" w:hAnsi="Tahoma" w:eastAsia="微软雅黑"/>
      <w:kern w:val="0"/>
      <w:sz w:val="22"/>
      <w:szCs w:val="22"/>
    </w:rPr>
  </w:style>
  <w:style w:type="paragraph" w:styleId="9">
    <w:name w:val="Plain Text"/>
    <w:basedOn w:val="1"/>
    <w:link w:val="28"/>
    <w:qFormat/>
    <w:uiPriority w:val="0"/>
    <w:rPr>
      <w:rFonts w:ascii="宋体" w:hAnsi="Courier New" w:cs="Courier New"/>
      <w:szCs w:val="21"/>
    </w:rPr>
  </w:style>
  <w:style w:type="paragraph" w:styleId="10">
    <w:name w:val="Date"/>
    <w:basedOn w:val="1"/>
    <w:next w:val="1"/>
    <w:qFormat/>
    <w:uiPriority w:val="0"/>
    <w:rPr>
      <w:sz w:val="24"/>
      <w:szCs w:val="20"/>
    </w:rPr>
  </w:style>
  <w:style w:type="paragraph" w:styleId="11">
    <w:name w:val="Body Text Indent 2"/>
    <w:basedOn w:val="1"/>
    <w:link w:val="36"/>
    <w:qFormat/>
    <w:uiPriority w:val="0"/>
    <w:pPr>
      <w:tabs>
        <w:tab w:val="left" w:pos="0"/>
        <w:tab w:val="left" w:pos="735"/>
      </w:tabs>
      <w:ind w:firstLine="523" w:firstLineChars="218"/>
    </w:pPr>
    <w:rPr>
      <w:rFonts w:ascii="宋体"/>
      <w:sz w:val="24"/>
      <w:szCs w:val="20"/>
    </w:rPr>
  </w:style>
  <w:style w:type="paragraph" w:styleId="12">
    <w:name w:val="Balloon Text"/>
    <w:basedOn w:val="1"/>
    <w:link w:val="50"/>
    <w:semiHidden/>
    <w:unhideWhenUsed/>
    <w:qFormat/>
    <w:uiPriority w:val="99"/>
    <w:rPr>
      <w:sz w:val="18"/>
      <w:szCs w:val="18"/>
    </w:rPr>
  </w:style>
  <w:style w:type="paragraph" w:styleId="13">
    <w:name w:val="footer"/>
    <w:basedOn w:val="1"/>
    <w:link w:val="29"/>
    <w:qFormat/>
    <w:uiPriority w:val="99"/>
    <w:pPr>
      <w:tabs>
        <w:tab w:val="center" w:pos="4153"/>
        <w:tab w:val="right" w:pos="8306"/>
      </w:tabs>
      <w:snapToGrid w:val="0"/>
      <w:jc w:val="left"/>
    </w:pPr>
    <w:rPr>
      <w:sz w:val="18"/>
      <w:szCs w:val="18"/>
    </w:rPr>
  </w:style>
  <w:style w:type="paragraph" w:styleId="14">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4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qFormat/>
    <w:uiPriority w:val="99"/>
    <w:pPr>
      <w:widowControl/>
      <w:spacing w:before="136" w:after="68"/>
      <w:jc w:val="left"/>
    </w:pPr>
    <w:rPr>
      <w:rFonts w:ascii="Verdana" w:hAnsi="Verdana" w:cs="宋体"/>
      <w:color w:val="333333"/>
      <w:kern w:val="0"/>
      <w:sz w:val="16"/>
      <w:szCs w:val="16"/>
    </w:rPr>
  </w:style>
  <w:style w:type="paragraph" w:styleId="17">
    <w:name w:val="annotation subject"/>
    <w:basedOn w:val="6"/>
    <w:next w:val="6"/>
    <w:link w:val="52"/>
    <w:semiHidden/>
    <w:unhideWhenUsed/>
    <w:qFormat/>
    <w:uiPriority w:val="99"/>
    <w:rPr>
      <w:b/>
      <w:bCs/>
    </w:rPr>
  </w:style>
  <w:style w:type="paragraph" w:styleId="18">
    <w:name w:val="Body Text First Indent 2"/>
    <w:basedOn w:val="8"/>
    <w:link w:val="53"/>
    <w:qFormat/>
    <w:uiPriority w:val="0"/>
    <w:pPr>
      <w:widowControl w:val="0"/>
      <w:adjustRightInd/>
      <w:snapToGrid/>
      <w:ind w:firstLine="420" w:firstLineChars="200"/>
      <w:jc w:val="both"/>
    </w:pPr>
    <w:rPr>
      <w:rFonts w:ascii="Times New Roman" w:hAnsi="Times New Roman" w:eastAsia="宋体"/>
      <w:kern w:val="2"/>
      <w:sz w:val="21"/>
      <w:szCs w:val="24"/>
    </w:rPr>
  </w:style>
  <w:style w:type="table" w:styleId="20">
    <w:name w:val="Table Grid"/>
    <w:basedOn w:val="19"/>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22"/>
    <w:rPr>
      <w:b/>
      <w:bCs/>
    </w:rPr>
  </w:style>
  <w:style w:type="character" w:styleId="23">
    <w:name w:val="page number"/>
    <w:qFormat/>
    <w:uiPriority w:val="0"/>
  </w:style>
  <w:style w:type="character" w:styleId="24">
    <w:name w:val="Hyperlink"/>
    <w:basedOn w:val="21"/>
    <w:qFormat/>
    <w:uiPriority w:val="0"/>
    <w:rPr>
      <w:color w:val="0000FF"/>
    </w:rPr>
  </w:style>
  <w:style w:type="character" w:styleId="25">
    <w:name w:val="annotation reference"/>
    <w:basedOn w:val="21"/>
    <w:semiHidden/>
    <w:unhideWhenUsed/>
    <w:qFormat/>
    <w:uiPriority w:val="99"/>
    <w:rPr>
      <w:sz w:val="21"/>
      <w:szCs w:val="21"/>
    </w:rPr>
  </w:style>
  <w:style w:type="paragraph" w:customStyle="1" w:styleId="26">
    <w:name w:val="Fließtext"/>
    <w:basedOn w:val="1"/>
    <w:qFormat/>
    <w:uiPriority w:val="0"/>
    <w:pPr>
      <w:overflowPunct w:val="0"/>
      <w:autoSpaceDE w:val="0"/>
      <w:autoSpaceDN w:val="0"/>
      <w:adjustRightInd w:val="0"/>
    </w:pPr>
    <w:rPr>
      <w:kern w:val="28"/>
    </w:rPr>
  </w:style>
  <w:style w:type="character" w:customStyle="1" w:styleId="27">
    <w:name w:val="标题 1 字符"/>
    <w:link w:val="2"/>
    <w:qFormat/>
    <w:uiPriority w:val="99"/>
    <w:rPr>
      <w:rFonts w:ascii="宋体" w:hAnsi="Times New Roman" w:eastAsia="宋体" w:cs="Times New Roman"/>
      <w:b/>
      <w:kern w:val="44"/>
      <w:sz w:val="20"/>
      <w:szCs w:val="20"/>
    </w:rPr>
  </w:style>
  <w:style w:type="character" w:customStyle="1" w:styleId="28">
    <w:name w:val="纯文本 字符"/>
    <w:link w:val="9"/>
    <w:qFormat/>
    <w:uiPriority w:val="0"/>
    <w:rPr>
      <w:rFonts w:ascii="宋体" w:hAnsi="Courier New" w:eastAsia="宋体" w:cs="Courier New"/>
      <w:sz w:val="21"/>
      <w:szCs w:val="21"/>
    </w:rPr>
  </w:style>
  <w:style w:type="character" w:customStyle="1" w:styleId="29">
    <w:name w:val="页脚 字符"/>
    <w:link w:val="13"/>
    <w:semiHidden/>
    <w:qFormat/>
    <w:uiPriority w:val="99"/>
    <w:rPr>
      <w:rFonts w:cs="Times New Roman"/>
      <w:sz w:val="18"/>
      <w:szCs w:val="18"/>
    </w:rPr>
  </w:style>
  <w:style w:type="character" w:customStyle="1" w:styleId="30">
    <w:name w:val="页眉 字符"/>
    <w:link w:val="14"/>
    <w:semiHidden/>
    <w:qFormat/>
    <w:uiPriority w:val="99"/>
    <w:rPr>
      <w:rFonts w:cs="Times New Roman"/>
      <w:sz w:val="18"/>
      <w:szCs w:val="18"/>
    </w:rPr>
  </w:style>
  <w:style w:type="paragraph" w:customStyle="1" w:styleId="31">
    <w:name w:val="列出段落1"/>
    <w:basedOn w:val="1"/>
    <w:link w:val="49"/>
    <w:qFormat/>
    <w:uiPriority w:val="34"/>
    <w:pPr>
      <w:ind w:firstLine="420" w:firstLineChars="200"/>
    </w:pPr>
  </w:style>
  <w:style w:type="paragraph" w:customStyle="1" w:styleId="32">
    <w:name w:val="样式1"/>
    <w:basedOn w:val="9"/>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33">
    <w:name w:val="p0"/>
    <w:basedOn w:val="1"/>
    <w:qFormat/>
    <w:uiPriority w:val="0"/>
    <w:pPr>
      <w:widowControl/>
    </w:pPr>
    <w:rPr>
      <w:kern w:val="0"/>
      <w:szCs w:val="21"/>
    </w:rPr>
  </w:style>
  <w:style w:type="paragraph" w:styleId="34">
    <w:name w:val="List Paragraph"/>
    <w:basedOn w:val="1"/>
    <w:link w:val="35"/>
    <w:qFormat/>
    <w:uiPriority w:val="34"/>
    <w:pPr>
      <w:ind w:firstLine="420" w:firstLineChars="200"/>
    </w:pPr>
    <w:rPr>
      <w:rFonts w:ascii="Calibri" w:hAnsi="Calibri"/>
      <w:szCs w:val="22"/>
    </w:rPr>
  </w:style>
  <w:style w:type="character" w:customStyle="1" w:styleId="35">
    <w:name w:val="列表段落 字符1"/>
    <w:link w:val="34"/>
    <w:qFormat/>
    <w:uiPriority w:val="34"/>
    <w:rPr>
      <w:kern w:val="2"/>
      <w:sz w:val="21"/>
      <w:szCs w:val="22"/>
      <w:lang w:bidi="ar-SA"/>
    </w:rPr>
  </w:style>
  <w:style w:type="character" w:customStyle="1" w:styleId="36">
    <w:name w:val="正文文本缩进 2 字符"/>
    <w:basedOn w:val="21"/>
    <w:link w:val="11"/>
    <w:qFormat/>
    <w:uiPriority w:val="0"/>
    <w:rPr>
      <w:rFonts w:ascii="宋体" w:hAnsi="Times New Roman"/>
      <w:kern w:val="2"/>
      <w:sz w:val="24"/>
      <w:lang w:bidi="ar-SA"/>
    </w:rPr>
  </w:style>
  <w:style w:type="paragraph" w:customStyle="1" w:styleId="37">
    <w:name w:val="样式3"/>
    <w:basedOn w:val="9"/>
    <w:qFormat/>
    <w:uiPriority w:val="0"/>
    <w:pPr>
      <w:spacing w:line="0" w:lineRule="atLeast"/>
      <w:outlineLvl w:val="0"/>
    </w:pPr>
    <w:rPr>
      <w:rFonts w:cs="Times New Roman"/>
      <w:sz w:val="28"/>
      <w:szCs w:val="24"/>
    </w:rPr>
  </w:style>
  <w:style w:type="character" w:customStyle="1" w:styleId="38">
    <w:name w:val="标题 2 字符"/>
    <w:basedOn w:val="21"/>
    <w:link w:val="3"/>
    <w:qFormat/>
    <w:uiPriority w:val="9"/>
    <w:rPr>
      <w:rFonts w:asciiTheme="majorHAnsi" w:hAnsiTheme="majorHAnsi" w:eastAsiaTheme="majorEastAsia" w:cstheme="majorBidi"/>
      <w:b/>
      <w:bCs/>
      <w:kern w:val="2"/>
      <w:sz w:val="32"/>
      <w:szCs w:val="32"/>
      <w:lang w:bidi="ar-SA"/>
    </w:rPr>
  </w:style>
  <w:style w:type="character" w:customStyle="1" w:styleId="39">
    <w:name w:val="正文文本缩进 字符"/>
    <w:basedOn w:val="21"/>
    <w:link w:val="8"/>
    <w:qFormat/>
    <w:uiPriority w:val="99"/>
    <w:rPr>
      <w:rFonts w:ascii="Tahoma" w:hAnsi="Tahoma" w:eastAsia="微软雅黑"/>
      <w:sz w:val="22"/>
      <w:szCs w:val="22"/>
      <w:lang w:bidi="ar-SA"/>
    </w:rPr>
  </w:style>
  <w:style w:type="character" w:customStyle="1" w:styleId="40">
    <w:name w:val="A1"/>
    <w:qFormat/>
    <w:uiPriority w:val="99"/>
    <w:rPr>
      <w:rFonts w:cs="Tw Cen MT"/>
      <w:color w:val="000000"/>
      <w:sz w:val="22"/>
      <w:szCs w:val="22"/>
    </w:rPr>
  </w:style>
  <w:style w:type="character" w:customStyle="1" w:styleId="41">
    <w:name w:val="A7"/>
    <w:qFormat/>
    <w:uiPriority w:val="99"/>
    <w:rPr>
      <w:rFonts w:cs="Tw Cen MT"/>
      <w:color w:val="000000"/>
      <w:sz w:val="13"/>
      <w:szCs w:val="13"/>
    </w:rPr>
  </w:style>
  <w:style w:type="character" w:customStyle="1" w:styleId="42">
    <w:name w:val="不明显参考1"/>
    <w:basedOn w:val="21"/>
    <w:qFormat/>
    <w:uiPriority w:val="31"/>
    <w:rPr>
      <w:color w:val="595959" w:themeColor="text1" w:themeTint="A6"/>
      <w14:textFill>
        <w14:solidFill>
          <w14:schemeClr w14:val="tx1">
            <w14:lumMod w14:val="65000"/>
            <w14:lumOff w14:val="35000"/>
          </w14:schemeClr>
        </w14:solidFill>
      </w14:textFill>
    </w:rPr>
  </w:style>
  <w:style w:type="character" w:customStyle="1" w:styleId="43">
    <w:name w:val="标题1"/>
    <w:basedOn w:val="21"/>
    <w:qFormat/>
    <w:uiPriority w:val="0"/>
  </w:style>
  <w:style w:type="character" w:customStyle="1" w:styleId="44">
    <w:name w:val="标题 3 字符"/>
    <w:basedOn w:val="21"/>
    <w:link w:val="4"/>
    <w:semiHidden/>
    <w:qFormat/>
    <w:uiPriority w:val="0"/>
    <w:rPr>
      <w:rFonts w:ascii="Times New Roman" w:hAnsi="Times New Roman"/>
      <w:b/>
      <w:bCs/>
      <w:kern w:val="2"/>
      <w:sz w:val="32"/>
      <w:szCs w:val="32"/>
      <w:lang w:bidi="ar-SA"/>
    </w:rPr>
  </w:style>
  <w:style w:type="paragraph" w:customStyle="1" w:styleId="45">
    <w:name w:val="编号"/>
    <w:basedOn w:val="1"/>
    <w:qFormat/>
    <w:uiPriority w:val="99"/>
    <w:pPr>
      <w:ind w:firstLine="420" w:firstLineChars="200"/>
    </w:pPr>
    <w:rPr>
      <w:szCs w:val="21"/>
    </w:rPr>
  </w:style>
  <w:style w:type="character" w:customStyle="1" w:styleId="46">
    <w:name w:val="HTML 预设格式 Char"/>
    <w:basedOn w:val="21"/>
    <w:semiHidden/>
    <w:qFormat/>
    <w:uiPriority w:val="99"/>
    <w:rPr>
      <w:rFonts w:ascii="Courier New" w:hAnsi="Courier New" w:cs="Courier New"/>
      <w:kern w:val="2"/>
      <w:lang w:bidi="ar-SA"/>
    </w:rPr>
  </w:style>
  <w:style w:type="character" w:customStyle="1" w:styleId="47">
    <w:name w:val="HTML 预设格式 字符"/>
    <w:link w:val="15"/>
    <w:semiHidden/>
    <w:qFormat/>
    <w:uiPriority w:val="99"/>
    <w:rPr>
      <w:rFonts w:ascii="宋体" w:hAnsi="宋体" w:cs="宋体"/>
      <w:sz w:val="24"/>
      <w:szCs w:val="24"/>
      <w:lang w:bidi="ar-SA"/>
    </w:rPr>
  </w:style>
  <w:style w:type="paragraph" w:customStyle="1" w:styleId="48">
    <w:name w:val="Char Char Char Char Char Char Char"/>
    <w:basedOn w:val="1"/>
    <w:qFormat/>
    <w:uiPriority w:val="0"/>
  </w:style>
  <w:style w:type="character" w:customStyle="1" w:styleId="49">
    <w:name w:val="列表段落 字符"/>
    <w:link w:val="31"/>
    <w:qFormat/>
    <w:uiPriority w:val="34"/>
    <w:rPr>
      <w:rFonts w:ascii="Times New Roman" w:hAnsi="Times New Roman"/>
      <w:kern w:val="2"/>
      <w:sz w:val="21"/>
      <w:szCs w:val="24"/>
      <w:lang w:bidi="ar-SA"/>
    </w:rPr>
  </w:style>
  <w:style w:type="character" w:customStyle="1" w:styleId="50">
    <w:name w:val="批注框文本 字符"/>
    <w:basedOn w:val="21"/>
    <w:link w:val="12"/>
    <w:semiHidden/>
    <w:qFormat/>
    <w:uiPriority w:val="99"/>
    <w:rPr>
      <w:kern w:val="2"/>
      <w:sz w:val="18"/>
      <w:szCs w:val="18"/>
    </w:rPr>
  </w:style>
  <w:style w:type="character" w:customStyle="1" w:styleId="51">
    <w:name w:val="批注文字 字符"/>
    <w:basedOn w:val="21"/>
    <w:link w:val="6"/>
    <w:semiHidden/>
    <w:qFormat/>
    <w:uiPriority w:val="99"/>
    <w:rPr>
      <w:kern w:val="2"/>
      <w:sz w:val="21"/>
      <w:szCs w:val="24"/>
    </w:rPr>
  </w:style>
  <w:style w:type="character" w:customStyle="1" w:styleId="52">
    <w:name w:val="批注主题 字符"/>
    <w:basedOn w:val="51"/>
    <w:link w:val="17"/>
    <w:semiHidden/>
    <w:qFormat/>
    <w:uiPriority w:val="99"/>
    <w:rPr>
      <w:b/>
      <w:bCs/>
      <w:kern w:val="2"/>
      <w:sz w:val="21"/>
      <w:szCs w:val="24"/>
    </w:rPr>
  </w:style>
  <w:style w:type="character" w:customStyle="1" w:styleId="53">
    <w:name w:val="正文文本首行缩进 2 字符"/>
    <w:basedOn w:val="39"/>
    <w:link w:val="18"/>
    <w:qFormat/>
    <w:uiPriority w:val="0"/>
    <w:rPr>
      <w:rFonts w:ascii="Tahoma" w:hAnsi="Tahoma" w:eastAsia="微软雅黑"/>
      <w:kern w:val="2"/>
      <w:sz w:val="21"/>
      <w:szCs w:val="24"/>
      <w:lang w:bidi="ar-SA"/>
    </w:rPr>
  </w:style>
  <w:style w:type="character" w:customStyle="1" w:styleId="54">
    <w:name w:val="正文文本 字符"/>
    <w:basedOn w:val="21"/>
    <w:link w:val="7"/>
    <w:qFormat/>
    <w:uiPriority w:val="0"/>
    <w:rPr>
      <w:kern w:val="2"/>
      <w:sz w:val="21"/>
      <w:szCs w:val="24"/>
    </w:rPr>
  </w:style>
  <w:style w:type="paragraph" w:customStyle="1" w:styleId="55">
    <w:name w:val="样式 标题 4 + 段前: 5 磅 段后: 5 磅 行距: 单倍行距"/>
    <w:basedOn w:val="5"/>
    <w:qFormat/>
    <w:uiPriority w:val="0"/>
    <w:pPr>
      <w:spacing w:before="100" w:after="100" w:line="240" w:lineRule="auto"/>
    </w:pPr>
    <w:rPr>
      <w:rFonts w:ascii="Arial" w:hAnsi="Arial" w:eastAsia="黑体" w:cs="宋体"/>
      <w:szCs w:val="20"/>
    </w:rPr>
  </w:style>
  <w:style w:type="paragraph" w:customStyle="1" w:styleId="56">
    <w:name w:val="样式 标题 2 + 宋体 五号 非加粗 黑色"/>
    <w:basedOn w:val="3"/>
    <w:qFormat/>
    <w:uiPriority w:val="0"/>
    <w:pPr>
      <w:spacing w:line="416" w:lineRule="atLeast"/>
      <w:ind w:left="709"/>
    </w:pPr>
    <w:rPr>
      <w:rFonts w:ascii="宋体" w:hAnsi="宋体" w:eastAsia="宋体" w:cs="Times New Roman"/>
      <w:b w:val="0"/>
      <w:bCs w:val="0"/>
      <w:color w:val="000000"/>
      <w:sz w:val="21"/>
    </w:rPr>
  </w:style>
  <w:style w:type="paragraph" w:customStyle="1" w:styleId="57">
    <w:name w:val="a"/>
    <w:basedOn w:val="1"/>
    <w:qFormat/>
    <w:uiPriority w:val="0"/>
    <w:pPr>
      <w:widowControl/>
      <w:jc w:val="left"/>
    </w:pPr>
    <w:rPr>
      <w:rFonts w:ascii="宋体" w:cs="宋体"/>
      <w:kern w:val="0"/>
      <w:sz w:val="24"/>
    </w:rPr>
  </w:style>
  <w:style w:type="paragraph" w:customStyle="1" w:styleId="58">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29</Pages>
  <Words>2496</Words>
  <Characters>14233</Characters>
  <Lines>118</Lines>
  <Paragraphs>33</Paragraphs>
  <TotalTime>17</TotalTime>
  <ScaleCrop>false</ScaleCrop>
  <LinksUpToDate>false</LinksUpToDate>
  <CharactersWithSpaces>16696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2023-05-24T01:16:00Z</dcterms:created>
  <dc:creator>许熠堃(8027)</dc:creator>
  <cp:lastModifiedBy>ZhuoyaHE</cp:lastModifiedBy>
  <dcterms:modified xsi:type="dcterms:W3CDTF">2023-07-25T08:16:40Z</dcterms:modified>
  <dc:title>厦  门  大  学</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76C0D5534E6F4D5085B9294841B3262D_13</vt:lpwstr>
  </property>
</Properties>
</file>