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ind w:firstLine="2401" w:firstLineChars="500"/>
        <w:rPr>
          <w:rFonts w:ascii="宋体"/>
          <w:b/>
          <w:bCs/>
          <w:sz w:val="36"/>
          <w:szCs w:val="28"/>
        </w:rPr>
      </w:pPr>
      <w:r>
        <w:rPr>
          <w:rFonts w:hint="eastAsia" w:eastAsia="隶书"/>
          <w:b/>
          <w:bCs/>
          <w:sz w:val="48"/>
        </w:rPr>
        <w:t>嘉庚创新实验室</w:t>
      </w:r>
    </w:p>
    <w:p>
      <w:pPr>
        <w:jc w:val="center"/>
        <w:outlineLvl w:val="0"/>
        <w:rPr>
          <w:rFonts w:eastAsia="隶书"/>
          <w:b/>
          <w:bCs/>
          <w:sz w:val="84"/>
        </w:rPr>
      </w:pPr>
      <w:r>
        <w:rPr>
          <w:rFonts w:hint="eastAsia" w:eastAsia="隶书"/>
          <w:b/>
          <w:bCs/>
          <w:sz w:val="84"/>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jc w:val="center"/>
        <w:rPr>
          <w:rFonts w:eastAsia="隶书"/>
          <w:b/>
          <w:bCs/>
          <w:sz w:val="44"/>
        </w:rPr>
      </w:pPr>
      <w:r>
        <w:rPr>
          <w:rFonts w:eastAsia="隶书"/>
          <w:b/>
          <w:bCs/>
          <w:sz w:val="44"/>
        </w:rPr>
        <w:t xml:space="preserve"> </w:t>
      </w:r>
      <w:r>
        <w:rPr>
          <w:rFonts w:hint="eastAsia" w:eastAsia="隶书"/>
          <w:b/>
          <w:bCs/>
          <w:sz w:val="44"/>
        </w:rPr>
        <w:t>采购项目</w:t>
      </w:r>
    </w:p>
    <w:p>
      <w:pPr>
        <w:jc w:val="center"/>
        <w:rPr>
          <w:rFonts w:eastAsia="隶书"/>
          <w:b/>
          <w:bCs/>
          <w:sz w:val="44"/>
        </w:rPr>
      </w:pPr>
    </w:p>
    <w:p>
      <w:pPr>
        <w:jc w:val="center"/>
        <w:outlineLvl w:val="0"/>
        <w:rPr>
          <w:rFonts w:ascii="宋体" w:hAnsi="宋体" w:cs="宋体"/>
          <w:b/>
          <w:bCs/>
          <w:sz w:val="36"/>
          <w:szCs w:val="36"/>
        </w:rPr>
      </w:pPr>
      <w:r>
        <w:rPr>
          <w:rFonts w:hint="eastAsia" w:ascii="宋体" w:hAnsi="宋体" w:cs="宋体"/>
          <w:b/>
          <w:bCs/>
          <w:sz w:val="36"/>
          <w:szCs w:val="36"/>
        </w:rPr>
        <w:t>小型SCR脱硝催化剂评价装置</w:t>
      </w:r>
    </w:p>
    <w:p>
      <w:pPr>
        <w:jc w:val="center"/>
        <w:rPr>
          <w:rFonts w:ascii="宋体" w:hAnsi="宋体" w:cs="宋体"/>
          <w:b/>
          <w:bCs/>
          <w:sz w:val="36"/>
          <w:szCs w:val="36"/>
        </w:rPr>
      </w:pPr>
    </w:p>
    <w:p>
      <w:pPr>
        <w:jc w:val="center"/>
        <w:outlineLvl w:val="0"/>
        <w:rPr>
          <w:rFonts w:ascii="宋体" w:hAnsi="宋体"/>
          <w:b/>
          <w:bCs/>
          <w:sz w:val="28"/>
          <w:szCs w:val="28"/>
        </w:rPr>
      </w:pPr>
      <w:r>
        <w:rPr>
          <w:rFonts w:hint="eastAsia"/>
          <w:b/>
          <w:bCs/>
          <w:sz w:val="36"/>
        </w:rPr>
        <w:t>采购编号：JGYQ-2023TP-008</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outlineLvl w:val="0"/>
        <w:rPr>
          <w:rFonts w:eastAsia="隶书"/>
          <w:b/>
          <w:bCs/>
          <w:sz w:val="44"/>
        </w:rPr>
      </w:pPr>
      <w:r>
        <w:rPr>
          <w:rFonts w:hint="eastAsia" w:eastAsia="隶书"/>
          <w:b/>
          <w:bCs/>
          <w:sz w:val="44"/>
        </w:rPr>
        <w:t>嘉庚创新实验室资采室</w:t>
      </w:r>
    </w:p>
    <w:p>
      <w:pPr>
        <w:jc w:val="center"/>
        <w:rPr>
          <w:rFonts w:ascii="隶书" w:eastAsia="隶书"/>
          <w:b/>
          <w:bCs/>
          <w:sz w:val="36"/>
        </w:rPr>
      </w:pPr>
      <w:r>
        <w:rPr>
          <w:rFonts w:ascii="隶书" w:eastAsia="隶书"/>
          <w:b/>
          <w:bCs/>
          <w:sz w:val="36"/>
        </w:rPr>
        <w:t>20</w:t>
      </w:r>
      <w:r>
        <w:rPr>
          <w:rFonts w:hint="eastAsia" w:ascii="隶书" w:eastAsia="隶书"/>
          <w:b/>
          <w:bCs/>
          <w:sz w:val="36"/>
        </w:rPr>
        <w:t>23年3月</w:t>
      </w:r>
      <w:r>
        <w:rPr>
          <w:rFonts w:hint="eastAsia" w:ascii="隶书" w:eastAsia="隶书"/>
          <w:b/>
          <w:bCs/>
          <w:sz w:val="36"/>
          <w:lang w:val="en-US" w:eastAsia="zh-CN"/>
        </w:rPr>
        <w:t>28</w:t>
      </w:r>
      <w:r>
        <w:rPr>
          <w:rFonts w:hint="eastAsia" w:ascii="隶书" w:eastAsia="隶书"/>
          <w:b/>
          <w:bCs/>
          <w:sz w:val="36"/>
        </w:rPr>
        <w:t>日</w:t>
      </w:r>
    </w:p>
    <w:p>
      <w:pPr>
        <w:spacing w:line="540" w:lineRule="exact"/>
        <w:jc w:val="center"/>
        <w:outlineLvl w:val="0"/>
        <w:rPr>
          <w:rFonts w:ascii="宋体"/>
          <w:b/>
          <w:bCs/>
          <w:sz w:val="28"/>
          <w:szCs w:val="28"/>
        </w:rPr>
      </w:pPr>
      <w:r>
        <w:br w:type="page"/>
      </w:r>
      <w:bookmarkStart w:id="4" w:name="_GoBack"/>
      <w:bookmarkEnd w:id="4"/>
      <w:r>
        <w:rPr>
          <w:rFonts w:hint="eastAsia"/>
          <w:b/>
          <w:bCs/>
          <w:sz w:val="36"/>
        </w:rPr>
        <w:t>第一章  磋商邀请</w:t>
      </w:r>
    </w:p>
    <w:p>
      <w:pPr>
        <w:spacing w:line="360" w:lineRule="auto"/>
        <w:ind w:firstLine="560" w:firstLineChars="200"/>
        <w:rPr>
          <w:rFonts w:ascii="宋体" w:hAnsi="宋体"/>
          <w:sz w:val="28"/>
          <w:szCs w:val="28"/>
        </w:rPr>
      </w:pPr>
      <w:r>
        <w:rPr>
          <w:rFonts w:hint="eastAsia" w:ascii="宋体" w:hAnsi="宋体"/>
          <w:sz w:val="28"/>
          <w:szCs w:val="28"/>
        </w:rPr>
        <w:t>嘉庚创新实验室资采室受学校采购领导小组的委托，以磋商谈判形式就小型SCR脱硝催化剂评价装置项目进行采购，欢迎具备相应资格条件的供应商参加磋商。</w:t>
      </w:r>
    </w:p>
    <w:p>
      <w:pPr>
        <w:numPr>
          <w:ilvl w:val="0"/>
          <w:numId w:val="1"/>
        </w:numPr>
        <w:spacing w:line="360" w:lineRule="auto"/>
        <w:rPr>
          <w:rFonts w:ascii="宋体" w:hAnsi="宋体"/>
          <w:sz w:val="28"/>
          <w:szCs w:val="28"/>
        </w:rPr>
      </w:pPr>
      <w:r>
        <w:rPr>
          <w:rFonts w:hint="eastAsia" w:ascii="宋体" w:hAnsi="宋体"/>
          <w:sz w:val="28"/>
          <w:szCs w:val="28"/>
        </w:rPr>
        <w:t>采购编号：JGYQ-2023TP-008</w:t>
      </w:r>
    </w:p>
    <w:p>
      <w:pPr>
        <w:numPr>
          <w:ilvl w:val="0"/>
          <w:numId w:val="1"/>
        </w:numPr>
        <w:spacing w:line="360" w:lineRule="auto"/>
        <w:rPr>
          <w:rFonts w:ascii="宋体"/>
          <w:sz w:val="28"/>
          <w:szCs w:val="28"/>
        </w:rPr>
      </w:pPr>
      <w:r>
        <w:rPr>
          <w:rFonts w:hint="eastAsia" w:ascii="宋体" w:hAnsi="宋体"/>
          <w:sz w:val="28"/>
          <w:szCs w:val="28"/>
        </w:rPr>
        <w:t>采购项目：嘉庚创新实验室小型SCR脱硝催化剂评价装置</w:t>
      </w:r>
    </w:p>
    <w:p>
      <w:pPr>
        <w:numPr>
          <w:ilvl w:val="0"/>
          <w:numId w:val="1"/>
        </w:numPr>
        <w:spacing w:line="360" w:lineRule="auto"/>
        <w:rPr>
          <w:rFonts w:ascii="宋体"/>
          <w:sz w:val="28"/>
          <w:szCs w:val="28"/>
        </w:rPr>
      </w:pPr>
      <w:r>
        <w:rPr>
          <w:rFonts w:hint="eastAsia" w:ascii="宋体" w:hAnsi="宋体"/>
          <w:sz w:val="28"/>
          <w:szCs w:val="28"/>
        </w:rPr>
        <w:t>供货地点：厦门大学翔安校区</w:t>
      </w:r>
    </w:p>
    <w:p>
      <w:pPr>
        <w:numPr>
          <w:ilvl w:val="0"/>
          <w:numId w:val="1"/>
        </w:numPr>
        <w:spacing w:line="360" w:lineRule="auto"/>
        <w:rPr>
          <w:rFonts w:ascii="宋体"/>
          <w:b/>
          <w:sz w:val="28"/>
          <w:szCs w:val="28"/>
        </w:rPr>
      </w:pPr>
      <w:r>
        <w:rPr>
          <w:rFonts w:hint="eastAsia" w:ascii="宋体"/>
          <w:b/>
          <w:sz w:val="28"/>
          <w:szCs w:val="28"/>
        </w:rPr>
        <w:t>预算控制价：</w:t>
      </w:r>
      <w:r>
        <w:rPr>
          <w:rFonts w:hint="eastAsia"/>
          <w:b/>
          <w:sz w:val="28"/>
          <w:szCs w:val="28"/>
        </w:rPr>
        <w:t>90万元</w:t>
      </w:r>
    </w:p>
    <w:p>
      <w:pPr>
        <w:numPr>
          <w:ilvl w:val="0"/>
          <w:numId w:val="1"/>
        </w:numPr>
        <w:spacing w:line="360" w:lineRule="auto"/>
        <w:rPr>
          <w:b/>
          <w:sz w:val="28"/>
          <w:szCs w:val="28"/>
        </w:rPr>
      </w:pPr>
      <w:r>
        <w:rPr>
          <w:rFonts w:hint="eastAsia"/>
          <w:b/>
          <w:sz w:val="28"/>
          <w:szCs w:val="28"/>
        </w:rPr>
        <w:t>报价截止和磋商时间：</w:t>
      </w:r>
      <w:r>
        <w:rPr>
          <w:b/>
          <w:sz w:val="28"/>
          <w:szCs w:val="28"/>
        </w:rPr>
        <w:t>20</w:t>
      </w:r>
      <w:r>
        <w:rPr>
          <w:rFonts w:hint="eastAsia"/>
          <w:b/>
          <w:sz w:val="28"/>
          <w:szCs w:val="28"/>
        </w:rPr>
        <w:t>23年4月6日 下午14:30</w:t>
      </w:r>
    </w:p>
    <w:p>
      <w:pPr>
        <w:numPr>
          <w:ilvl w:val="0"/>
          <w:numId w:val="1"/>
        </w:numPr>
        <w:spacing w:line="360" w:lineRule="auto"/>
        <w:rPr>
          <w:rFonts w:ascii="宋体"/>
          <w:sz w:val="28"/>
          <w:szCs w:val="28"/>
        </w:rPr>
      </w:pPr>
      <w:r>
        <w:rPr>
          <w:rFonts w:hint="eastAsia" w:ascii="宋体" w:hAnsi="宋体"/>
          <w:sz w:val="28"/>
          <w:szCs w:val="28"/>
        </w:rPr>
        <w:t>磋商谈判文件发售（免费下载）及报名截至时间：报名以邮件进行报名（报名函加盖公司公章发送至指定邮箱，报名函格式见附件格式</w:t>
      </w:r>
      <w:r>
        <w:rPr>
          <w:rFonts w:hint="eastAsia" w:ascii="宋体" w:hAnsi="宋体"/>
          <w:sz w:val="28"/>
          <w:szCs w:val="28"/>
          <w:lang w:val="en-US" w:eastAsia="zh-CN"/>
        </w:rPr>
        <w:t>5</w:t>
      </w:r>
      <w:r>
        <w:rPr>
          <w:rFonts w:hint="eastAsia" w:ascii="宋体" w:hAnsi="宋体"/>
          <w:sz w:val="28"/>
          <w:szCs w:val="28"/>
        </w:rPr>
        <w:t>）。</w:t>
      </w:r>
    </w:p>
    <w:p>
      <w:pPr>
        <w:numPr>
          <w:ilvl w:val="0"/>
          <w:numId w:val="1"/>
        </w:numPr>
        <w:spacing w:line="360" w:lineRule="auto"/>
        <w:rPr>
          <w:rFonts w:ascii="宋体"/>
          <w:sz w:val="28"/>
          <w:szCs w:val="28"/>
        </w:rPr>
      </w:pPr>
      <w:r>
        <w:rPr>
          <w:rFonts w:hint="eastAsia" w:ascii="宋体" w:hAnsi="宋体"/>
          <w:sz w:val="28"/>
          <w:szCs w:val="28"/>
        </w:rPr>
        <w:t>开标地点：厦门市厦门大学翔安校区能源材料大楼3号楼二楼开标室</w:t>
      </w:r>
    </w:p>
    <w:p>
      <w:pPr>
        <w:numPr>
          <w:ilvl w:val="0"/>
          <w:numId w:val="1"/>
        </w:numPr>
        <w:spacing w:line="360" w:lineRule="auto"/>
        <w:rPr>
          <w:rFonts w:ascii="宋体"/>
          <w:sz w:val="28"/>
          <w:szCs w:val="28"/>
        </w:rPr>
      </w:pPr>
      <w:r>
        <w:rPr>
          <w:rFonts w:hint="eastAsia" w:ascii="宋体" w:hAnsi="宋体"/>
          <w:sz w:val="28"/>
          <w:szCs w:val="28"/>
        </w:rPr>
        <w:t>本批采购的咨询联系人</w:t>
      </w:r>
    </w:p>
    <w:p>
      <w:pPr>
        <w:tabs>
          <w:tab w:val="left" w:pos="720"/>
        </w:tabs>
        <w:spacing w:line="360" w:lineRule="auto"/>
        <w:ind w:left="720"/>
        <w:rPr>
          <w:rFonts w:ascii="宋体" w:hAnsi="宋体"/>
          <w:sz w:val="28"/>
          <w:szCs w:val="28"/>
        </w:rPr>
      </w:pPr>
      <w:r>
        <w:rPr>
          <w:rFonts w:hint="eastAsia" w:ascii="宋体" w:hAnsi="宋体"/>
          <w:sz w:val="28"/>
          <w:szCs w:val="28"/>
        </w:rPr>
        <w:t>技术需求方面请联系用户单位：夏老师1</w:t>
      </w:r>
      <w:r>
        <w:rPr>
          <w:rFonts w:ascii="宋体" w:hAnsi="宋体"/>
          <w:sz w:val="28"/>
          <w:szCs w:val="28"/>
        </w:rPr>
        <w:t>9859195962</w:t>
      </w:r>
    </w:p>
    <w:p>
      <w:pPr>
        <w:spacing w:line="360" w:lineRule="auto"/>
        <w:ind w:left="720"/>
        <w:rPr>
          <w:rFonts w:ascii="宋体"/>
          <w:sz w:val="28"/>
          <w:szCs w:val="28"/>
        </w:rPr>
      </w:pPr>
      <w:r>
        <w:rPr>
          <w:rFonts w:hint="eastAsia" w:ascii="宋体" w:hAnsi="宋体"/>
          <w:sz w:val="28"/>
          <w:szCs w:val="28"/>
        </w:rPr>
        <w:t>磋商报名等方面请联系：贺老师</w:t>
      </w:r>
    </w:p>
    <w:p>
      <w:pPr>
        <w:pStyle w:val="32"/>
        <w:spacing w:line="360" w:lineRule="auto"/>
        <w:rPr>
          <w:rFonts w:ascii="宋体" w:hAnsi="宋体" w:cs="宋体"/>
          <w:sz w:val="28"/>
          <w:szCs w:val="28"/>
        </w:rPr>
      </w:pPr>
      <w:r>
        <w:rPr>
          <w:rFonts w:hint="eastAsia" w:ascii="宋体" w:hAnsi="宋体" w:cs="宋体"/>
          <w:sz w:val="28"/>
          <w:szCs w:val="28"/>
        </w:rPr>
        <w:t xml:space="preserve">     电话：0592-2882502</w:t>
      </w:r>
    </w:p>
    <w:p>
      <w:pPr>
        <w:pStyle w:val="32"/>
        <w:spacing w:line="360" w:lineRule="auto"/>
        <w:ind w:firstLine="560"/>
        <w:rPr>
          <w:sz w:val="28"/>
          <w:szCs w:val="28"/>
        </w:rPr>
      </w:pPr>
      <w:r>
        <w:rPr>
          <w:rFonts w:hint="eastAsia" w:ascii="宋体" w:hAnsi="宋体" w:cs="宋体"/>
          <w:sz w:val="28"/>
          <w:szCs w:val="28"/>
        </w:rPr>
        <w:t xml:space="preserve"> 邮箱：</w:t>
      </w:r>
      <w:r>
        <w:rPr>
          <w:rFonts w:hint="eastAsia"/>
          <w:sz w:val="28"/>
          <w:szCs w:val="28"/>
        </w:rPr>
        <w:t>zyhe</w:t>
      </w:r>
      <w:r>
        <w:rPr>
          <w:sz w:val="28"/>
          <w:szCs w:val="28"/>
        </w:rPr>
        <w:t>@xmu.edu.cn</w:t>
      </w:r>
    </w:p>
    <w:p>
      <w:pPr>
        <w:pStyle w:val="32"/>
        <w:spacing w:line="360" w:lineRule="auto"/>
        <w:ind w:firstLine="560"/>
        <w:rPr>
          <w:rFonts w:ascii="宋体" w:hAnsi="宋体" w:cs="宋体"/>
          <w:sz w:val="28"/>
          <w:szCs w:val="28"/>
        </w:rPr>
      </w:pPr>
    </w:p>
    <w:p>
      <w:pPr>
        <w:spacing w:line="360" w:lineRule="auto"/>
        <w:ind w:left="720"/>
        <w:rPr>
          <w:rFonts w:ascii="宋体" w:hAnsi="宋体"/>
          <w:sz w:val="28"/>
          <w:szCs w:val="28"/>
        </w:rPr>
      </w:pPr>
      <w:r>
        <w:rPr>
          <w:rFonts w:ascii="宋体" w:hAnsi="宋体"/>
          <w:sz w:val="28"/>
          <w:szCs w:val="28"/>
        </w:rPr>
        <w:t xml:space="preserve">                              </w:t>
      </w:r>
      <w:r>
        <w:rPr>
          <w:rFonts w:hint="eastAsia" w:ascii="宋体" w:hAnsi="宋体"/>
          <w:sz w:val="28"/>
          <w:szCs w:val="28"/>
        </w:rPr>
        <w:t xml:space="preserve"> 嘉庚创新实验室资采室</w:t>
      </w:r>
    </w:p>
    <w:p>
      <w:pPr>
        <w:spacing w:line="360" w:lineRule="auto"/>
        <w:ind w:left="720"/>
        <w:rPr>
          <w:rFonts w:ascii="黑体" w:hAnsi="黑体" w:eastAsia="黑体"/>
          <w:sz w:val="32"/>
          <w:szCs w:val="32"/>
        </w:rPr>
      </w:pPr>
      <w:r>
        <w:rPr>
          <w:rFonts w:ascii="宋体" w:hAnsi="宋体"/>
          <w:sz w:val="28"/>
          <w:szCs w:val="28"/>
        </w:rPr>
        <w:t xml:space="preserve">                                 </w:t>
      </w:r>
    </w:p>
    <w:p>
      <w:pPr>
        <w:ind w:firstLine="640" w:firstLineChars="200"/>
        <w:jc w:val="center"/>
        <w:rPr>
          <w:sz w:val="28"/>
          <w:szCs w:val="28"/>
        </w:rPr>
      </w:pPr>
      <w:r>
        <w:rPr>
          <w:rFonts w:hint="eastAsia" w:ascii="黑体" w:hAnsi="黑体" w:eastAsia="黑体"/>
          <w:sz w:val="32"/>
          <w:szCs w:val="32"/>
        </w:rPr>
        <w:t>投标人须知前附表</w:t>
      </w: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54"/>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54"/>
              <w:spacing w:before="156" w:beforeLines="50" w:after="156" w:afterLines="50"/>
              <w:rPr>
                <w:rFonts w:ascii="宋体" w:hAnsi="宋体" w:eastAsia="宋体"/>
                <w:sz w:val="21"/>
                <w:szCs w:val="28"/>
              </w:rPr>
            </w:pPr>
            <w:r>
              <w:rPr>
                <w:rFonts w:hint="eastAsia" w:ascii="宋体" w:hAnsi="宋体" w:eastAsia="宋体"/>
                <w:sz w:val="21"/>
                <w:szCs w:val="28"/>
              </w:rPr>
              <w:t>嘉庚创新实验室小型SCR脱硝催化剂评价装置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55"/>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9"/>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9"/>
              <w:tabs>
                <w:tab w:val="left" w:pos="660"/>
              </w:tabs>
              <w:rPr>
                <w:rFonts w:hAnsi="宋体"/>
                <w:bCs/>
              </w:rPr>
            </w:pPr>
            <w:r>
              <w:rPr>
                <w:rFonts w:hint="eastAsia" w:hAnsi="宋体"/>
                <w:bCs/>
              </w:rPr>
              <w:t>1.★投标书；</w:t>
            </w:r>
          </w:p>
          <w:p>
            <w:pPr>
              <w:pStyle w:val="9"/>
              <w:tabs>
                <w:tab w:val="left" w:pos="660"/>
              </w:tabs>
              <w:rPr>
                <w:rFonts w:hAnsi="宋体"/>
                <w:bCs/>
              </w:rPr>
            </w:pPr>
            <w:r>
              <w:rPr>
                <w:rFonts w:hint="eastAsia" w:hAnsi="宋体"/>
                <w:bCs/>
              </w:rPr>
              <w:t>2.★法定代表人授权委托书；</w:t>
            </w:r>
          </w:p>
          <w:p>
            <w:pPr>
              <w:pStyle w:val="9"/>
              <w:tabs>
                <w:tab w:val="left" w:pos="660"/>
              </w:tabs>
              <w:rPr>
                <w:rFonts w:hAnsi="宋体"/>
                <w:bCs/>
              </w:rPr>
            </w:pPr>
            <w:r>
              <w:rPr>
                <w:rFonts w:hint="eastAsia" w:hAnsi="宋体"/>
                <w:bCs/>
              </w:rPr>
              <w:t>3.★营业执照副本复印件，并加盖投标人公章；</w:t>
            </w:r>
          </w:p>
          <w:p>
            <w:pPr>
              <w:pStyle w:val="9"/>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9"/>
              <w:tabs>
                <w:tab w:val="left" w:pos="660"/>
              </w:tabs>
              <w:rPr>
                <w:rFonts w:hint="default" w:hAnsi="宋体" w:eastAsia="宋体"/>
                <w:bCs/>
                <w:lang w:val="en-US" w:eastAsia="zh-CN"/>
              </w:rPr>
            </w:pPr>
            <w:r>
              <w:rPr>
                <w:rFonts w:hint="eastAsia" w:hAnsi="宋体"/>
                <w:bCs/>
              </w:rPr>
              <w:t>5.★廉政承诺书</w:t>
            </w:r>
          </w:p>
          <w:p>
            <w:pPr>
              <w:pStyle w:val="9"/>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9"/>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9"/>
              <w:tabs>
                <w:tab w:val="left" w:pos="660"/>
              </w:tabs>
              <w:rPr>
                <w:rFonts w:hAnsi="宋体"/>
                <w:bCs/>
              </w:rPr>
            </w:pPr>
            <w:r>
              <w:rPr>
                <w:rFonts w:hint="eastAsia" w:hAnsi="宋体"/>
                <w:bCs/>
              </w:rPr>
              <w:t xml:space="preserve">1.报价一览表； </w:t>
            </w:r>
          </w:p>
          <w:p>
            <w:pPr>
              <w:pStyle w:val="9"/>
              <w:tabs>
                <w:tab w:val="left" w:pos="660"/>
              </w:tabs>
              <w:rPr>
                <w:rFonts w:hAnsi="宋体"/>
                <w:bCs/>
              </w:rPr>
            </w:pPr>
            <w:r>
              <w:rPr>
                <w:rFonts w:hint="eastAsia" w:hAnsi="宋体"/>
                <w:bCs/>
              </w:rPr>
              <w:t>2.报价货物简要说明一览表；</w:t>
            </w:r>
          </w:p>
          <w:p>
            <w:pPr>
              <w:pStyle w:val="9"/>
              <w:tabs>
                <w:tab w:val="left" w:pos="660"/>
              </w:tabs>
              <w:rPr>
                <w:rFonts w:hAnsi="宋体"/>
                <w:bCs/>
              </w:rPr>
            </w:pPr>
            <w:r>
              <w:rPr>
                <w:rFonts w:hint="eastAsia" w:hAnsi="宋体"/>
                <w:bCs/>
              </w:rPr>
              <w:t>3.报价货物技术偏离表；</w:t>
            </w:r>
          </w:p>
          <w:p>
            <w:pPr>
              <w:pStyle w:val="9"/>
              <w:tabs>
                <w:tab w:val="left" w:pos="660"/>
              </w:tabs>
              <w:rPr>
                <w:rFonts w:hAnsi="宋体"/>
                <w:bCs/>
              </w:rPr>
            </w:pPr>
            <w:r>
              <w:rPr>
                <w:rFonts w:hint="eastAsia" w:hAnsi="宋体"/>
                <w:bCs/>
              </w:rPr>
              <w:t>4.技术方案；</w:t>
            </w:r>
          </w:p>
          <w:p>
            <w:pPr>
              <w:pStyle w:val="9"/>
              <w:tabs>
                <w:tab w:val="left" w:pos="660"/>
              </w:tabs>
              <w:rPr>
                <w:rFonts w:hAnsi="宋体"/>
                <w:bCs/>
              </w:rPr>
            </w:pPr>
            <w:r>
              <w:rPr>
                <w:rFonts w:hint="eastAsia" w:hAnsi="宋体"/>
                <w:bCs/>
              </w:rPr>
              <w:t>5.实施方案（含项目实施进度计划表）；</w:t>
            </w:r>
          </w:p>
          <w:p>
            <w:pPr>
              <w:pStyle w:val="9"/>
              <w:tabs>
                <w:tab w:val="left" w:pos="660"/>
              </w:tabs>
              <w:rPr>
                <w:rFonts w:hAnsi="宋体"/>
                <w:bCs/>
              </w:rPr>
            </w:pPr>
            <w:r>
              <w:rPr>
                <w:rFonts w:hint="eastAsia" w:hAnsi="宋体"/>
                <w:bCs/>
              </w:rPr>
              <w:t>6.验收方案；</w:t>
            </w:r>
          </w:p>
          <w:p>
            <w:pPr>
              <w:pStyle w:val="9"/>
              <w:tabs>
                <w:tab w:val="left" w:pos="660"/>
              </w:tabs>
              <w:rPr>
                <w:rFonts w:hAnsi="宋体"/>
                <w:bCs/>
              </w:rPr>
            </w:pPr>
            <w:r>
              <w:rPr>
                <w:rFonts w:hint="eastAsia" w:hAnsi="宋体"/>
                <w:bCs/>
              </w:rPr>
              <w:t>7.培训及售后服务方案；</w:t>
            </w:r>
          </w:p>
          <w:p>
            <w:pPr>
              <w:pStyle w:val="9"/>
              <w:rPr>
                <w:rFonts w:hAnsi="宋体"/>
                <w:bCs/>
              </w:rPr>
            </w:pPr>
            <w:r>
              <w:rPr>
                <w:rFonts w:hint="eastAsia" w:hAnsi="宋体"/>
                <w:bCs/>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9"/>
              <w:rPr>
                <w:rFonts w:hAnsi="宋体"/>
                <w:bCs/>
              </w:rPr>
            </w:pPr>
            <w:r>
              <w:rPr>
                <w:rFonts w:hint="eastAsia" w:hAnsi="宋体"/>
                <w:bCs/>
              </w:rPr>
              <w:t>应包括但不仅限于以下内容：</w:t>
            </w:r>
          </w:p>
          <w:p>
            <w:pPr>
              <w:pStyle w:val="9"/>
              <w:rPr>
                <w:rFonts w:hAnsi="宋体"/>
                <w:bCs/>
              </w:rPr>
            </w:pPr>
            <w:r>
              <w:rPr>
                <w:rFonts w:hint="eastAsia" w:hAnsi="宋体"/>
                <w:bCs/>
              </w:rPr>
              <w:t>1）报价设备数量、配置说明；</w:t>
            </w:r>
          </w:p>
          <w:p>
            <w:pPr>
              <w:pStyle w:val="9"/>
              <w:rPr>
                <w:rFonts w:hAnsi="宋体"/>
                <w:bCs/>
              </w:rPr>
            </w:pPr>
            <w:r>
              <w:rPr>
                <w:rFonts w:hint="eastAsia" w:hAnsi="宋体"/>
                <w:bCs/>
              </w:rPr>
              <w:t>2）技术响应方案；</w:t>
            </w:r>
          </w:p>
          <w:p>
            <w:pPr>
              <w:pStyle w:val="9"/>
              <w:rPr>
                <w:rFonts w:hAnsi="宋体"/>
                <w:bCs/>
              </w:rPr>
            </w:pPr>
            <w:r>
              <w:rPr>
                <w:rFonts w:hint="eastAsia" w:hAnsi="宋体"/>
                <w:bCs/>
              </w:rPr>
              <w:t>3）技术参数应答；</w:t>
            </w:r>
          </w:p>
          <w:p>
            <w:pPr>
              <w:pStyle w:val="9"/>
              <w:rPr>
                <w:rFonts w:hAnsi="宋体"/>
                <w:bCs/>
              </w:rPr>
            </w:pPr>
            <w:r>
              <w:rPr>
                <w:rFonts w:hint="eastAsia" w:hAnsi="宋体"/>
                <w:bCs/>
              </w:rPr>
              <w:t>4）公开发行的报价产品彩页或产品技术参数说明；</w:t>
            </w:r>
          </w:p>
          <w:p>
            <w:pPr>
              <w:pStyle w:val="9"/>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55"/>
              <w:spacing w:before="0" w:after="0" w:line="240" w:lineRule="auto"/>
              <w:ind w:left="0"/>
              <w:rPr>
                <w:bCs/>
                <w:color w:val="auto"/>
                <w:szCs w:val="21"/>
              </w:rPr>
            </w:pPr>
            <w:r>
              <w:rPr>
                <w:rFonts w:hint="eastAsia"/>
                <w:bCs/>
                <w:color w:val="auto"/>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55"/>
              <w:spacing w:before="0" w:after="0" w:line="240" w:lineRule="auto"/>
              <w:ind w:left="0"/>
              <w:rPr>
                <w:bCs/>
                <w:color w:val="auto"/>
                <w:szCs w:val="21"/>
              </w:rPr>
            </w:pPr>
            <w:r>
              <w:rPr>
                <w:rFonts w:hint="eastAsia"/>
                <w:bCs/>
                <w:color w:val="auto"/>
                <w:szCs w:val="21"/>
              </w:rPr>
              <w:t>详见报价文件要求</w:t>
            </w:r>
          </w:p>
        </w:tc>
      </w:tr>
    </w:tbl>
    <w:p>
      <w:pPr>
        <w:jc w:val="center"/>
        <w:rPr>
          <w:b/>
          <w:bCs/>
          <w:sz w:val="32"/>
          <w:szCs w:val="32"/>
        </w:rPr>
      </w:pPr>
      <w:r>
        <w:br w:type="page"/>
      </w:r>
    </w:p>
    <w:p>
      <w:pPr>
        <w:jc w:val="center"/>
        <w:rPr>
          <w:b/>
          <w:bCs/>
          <w:sz w:val="32"/>
          <w:szCs w:val="32"/>
        </w:rPr>
        <w:sectPr>
          <w:headerReference r:id="rId3" w:type="default"/>
          <w:headerReference r:id="rId4" w:type="even"/>
          <w:pgSz w:w="11906" w:h="16838"/>
          <w:pgMar w:top="1440" w:right="1701" w:bottom="1440" w:left="1701" w:header="851" w:footer="992" w:gutter="0"/>
          <w:cols w:space="425" w:num="1"/>
          <w:docGrid w:type="lines" w:linePitch="312" w:charSpace="0"/>
        </w:sectPr>
      </w:pPr>
    </w:p>
    <w:p>
      <w:pPr>
        <w:jc w:val="center"/>
        <w:outlineLvl w:val="0"/>
        <w:rPr>
          <w:b/>
          <w:bCs/>
          <w:sz w:val="36"/>
        </w:rPr>
      </w:pPr>
      <w:r>
        <w:rPr>
          <w:rFonts w:hint="eastAsia"/>
          <w:b/>
          <w:bCs/>
          <w:sz w:val="36"/>
        </w:rPr>
        <w:t>第二章</w:t>
      </w:r>
      <w:r>
        <w:rPr>
          <w:b/>
          <w:bCs/>
          <w:sz w:val="36"/>
        </w:rPr>
        <w:t xml:space="preserve">  </w:t>
      </w:r>
      <w:r>
        <w:rPr>
          <w:rFonts w:hint="eastAsia"/>
          <w:b/>
          <w:bCs/>
          <w:sz w:val="36"/>
        </w:rPr>
        <w:t>采购项目说明及要求</w:t>
      </w:r>
    </w:p>
    <w:p>
      <w:pPr>
        <w:pStyle w:val="30"/>
        <w:numPr>
          <w:ilvl w:val="0"/>
          <w:numId w:val="2"/>
        </w:numPr>
        <w:spacing w:line="360" w:lineRule="auto"/>
        <w:ind w:firstLineChars="0"/>
        <w:outlineLvl w:val="1"/>
        <w:rPr>
          <w:b/>
          <w:bCs/>
          <w:sz w:val="28"/>
        </w:rPr>
      </w:pPr>
      <w:r>
        <w:rPr>
          <w:rFonts w:hint="eastAsia"/>
          <w:b/>
          <w:bCs/>
          <w:sz w:val="28"/>
        </w:rPr>
        <w:t>采购项目要求一览表：</w:t>
      </w:r>
    </w:p>
    <w:p>
      <w:pPr>
        <w:pStyle w:val="30"/>
        <w:numPr>
          <w:ilvl w:val="0"/>
          <w:numId w:val="3"/>
        </w:numPr>
        <w:spacing w:line="360" w:lineRule="auto"/>
        <w:ind w:left="0" w:leftChars="0" w:firstLine="0" w:firstLineChars="0"/>
        <w:outlineLvl w:val="2"/>
        <w:rPr>
          <w:rFonts w:hint="eastAsia" w:ascii="Times New Roman" w:hAnsi="Times New Roman" w:eastAsia="宋体" w:cs="Times New Roman"/>
          <w:b/>
          <w:bCs/>
          <w:sz w:val="28"/>
          <w:lang w:val="en-US" w:eastAsia="zh-CN"/>
        </w:rPr>
      </w:pPr>
      <w:r>
        <w:rPr>
          <w:rFonts w:hint="eastAsia" w:ascii="Times New Roman" w:hAnsi="Times New Roman" w:eastAsia="宋体" w:cs="Times New Roman"/>
          <w:b/>
          <w:bCs/>
          <w:sz w:val="28"/>
          <w:lang w:val="en-US" w:eastAsia="zh-CN"/>
        </w:rPr>
        <w:t>技术参数要求（</w:t>
      </w:r>
      <w:r>
        <w:rPr>
          <w:rFonts w:hint="eastAsia" w:ascii="Times New Roman" w:hAnsi="Times New Roman" w:eastAsia="宋体" w:cs="Times New Roman"/>
          <w:b/>
          <w:bCs/>
          <w:sz w:val="28"/>
          <w:lang w:val="en-US" w:eastAsia="zh-CN"/>
        </w:rPr>
        <w:t>以“★”标示的内容为不允许负偏离的实质性要求）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 基础参数：6路气体+1路水蒸气进料：N2 进料量： 0~20SLPM；空气进料量： 0~45SLPM；CO2 进料量： 0~15SLPM；SO2 进料量： 0~0.5SLPM；NOx 进料量： 0~0.5SLPM；NH3 进料量： 0~0.5SLPM；水进料量： 0.001~5g/min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 催化剂类型：颗粒、粉体、整体</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3. 催化剂最大装填量：200 mL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 反应器尺寸：内径50mm，恒温段高度≥260mm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5. 设计压力：≥ 0.5 MPa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 加热炉最高温度：≥650℃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加热炉类型：≥5段炉，且具有快速降温设计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8. 温控精度：±1℃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9. 流量计精度：±1%FS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10. 液体进料精度：±1%FS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 预热器最大温度：≥250℃ ★</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12. 控制系统和组态软件：使用流畅、操作简单、一体化设置。</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 安全设施：具备完善的安全系统设施</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14. 具有合理的工艺流程设计，并提供相关P&amp;ID图纸 ★</w:t>
      </w:r>
    </w:p>
    <w:p>
      <w:pPr>
        <w:pStyle w:val="30"/>
        <w:numPr>
          <w:ilvl w:val="0"/>
          <w:numId w:val="3"/>
        </w:numPr>
        <w:spacing w:line="360" w:lineRule="auto"/>
        <w:ind w:left="0" w:leftChars="0" w:firstLine="0" w:firstLineChars="0"/>
        <w:outlineLvl w:val="2"/>
        <w:rPr>
          <w:rFonts w:hint="eastAsia" w:ascii="Times New Roman" w:hAnsi="Times New Roman" w:eastAsia="宋体" w:cs="Times New Roman"/>
          <w:b/>
          <w:bCs/>
          <w:sz w:val="28"/>
          <w:lang w:val="en-US" w:eastAsia="zh-CN"/>
        </w:rPr>
      </w:pPr>
      <w:r>
        <w:rPr>
          <w:rFonts w:hint="eastAsia" w:ascii="Times New Roman" w:hAnsi="Times New Roman" w:eastAsia="宋体" w:cs="Times New Roman"/>
          <w:b/>
          <w:bCs/>
          <w:sz w:val="28"/>
          <w:lang w:val="en-US" w:eastAsia="zh-CN"/>
        </w:rPr>
        <w:t>服务要求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免费质保期：所投所有设备质保期不少于壹年，自所有货物验收合格交付使用之日起计算。质保期内，设备发生任何质量问题，均由中标人负责免费修复，失效零件予以免费更换，更换时所发生的商检、运输等费用均由中标人负责。并详细列明质保期满后零配件的供应价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 在质保期间出现故障，中标人应在接到采购人通知后24小时以内响应，48小时内维修人员到场，72小时内排除故障。72小时内无法排除故障的，须提供代用设备或提出经采购人同意的解决方案。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 质保期满前1个月内中标人应就所有货物进行一次免费全面检查，并写出正式报告，如发现潜在问题，应负责排除。如出现质量问题，在质保期内对设备进行免费维修和零配件的更换。</w:t>
      </w:r>
    </w:p>
    <w:p>
      <w:pPr>
        <w:spacing w:line="360" w:lineRule="auto"/>
        <w:ind w:firstLine="480" w:firstLineChars="200"/>
        <w:outlineLvl w:val="3"/>
        <w:rPr>
          <w:rFonts w:hint="eastAsia" w:ascii="宋体" w:hAnsi="宋体" w:eastAsia="宋体" w:cs="宋体"/>
          <w:sz w:val="24"/>
          <w:lang w:val="en-US" w:eastAsia="zh-CN"/>
        </w:rPr>
      </w:pPr>
      <w:r>
        <w:rPr>
          <w:rFonts w:hint="eastAsia" w:ascii="宋体" w:hAnsi="宋体" w:eastAsia="宋体" w:cs="宋体"/>
          <w:sz w:val="24"/>
          <w:lang w:val="en-US" w:eastAsia="zh-CN"/>
        </w:rPr>
        <w:t>4.免费培训：</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4.1 投标人应免费为采购人提供全部设备的操作、使用及维护的技术培训服务，培训人员不少于4人；</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4.2 培训目标：使采购人相关人员能掌握有关系统设备的使用、维护和管理，达到能独立进行操作、日常测试维护等工作的目的；</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4.3 投标商应提供详细的培训课程讲义及培训进度计划表。内容包括：基本理论、实验方法原理、实验操作、软件的使用、仪器维护、安全要点以及其他相关内容。</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4.4 软件升级：中标人应免费向采购人提供仪器的软件升级服务2年以上，配合采购人需要进行系统扩展。</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4.5 质保期中技术服务内容：中标人提供相应的售后服务，维修仅收取零配件费用。</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4.6 中标人应提供设备相关的配套技术资料，包括操作手册（中文版）及维修保养手册等。</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4.7中标人必须承诺能长期提供良好的技术支持及备品备件的优惠供应，并列出零备件清单及价格表。</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4.8 投标人认为有利于采购人的其他优惠条款应单独列明</w:t>
      </w:r>
      <w:r>
        <w:rPr>
          <w:rFonts w:hint="eastAsia" w:ascii="宋体" w:hAnsi="宋体" w:eastAsia="宋体" w:cs="宋体"/>
          <w:kern w:val="2"/>
          <w:sz w:val="24"/>
          <w:szCs w:val="24"/>
          <w:lang w:val="en-US" w:eastAsia="zh-CN" w:bidi="ar-SA"/>
        </w:rPr>
        <w:t>。</w:t>
      </w:r>
    </w:p>
    <w:p>
      <w:pPr>
        <w:pStyle w:val="30"/>
        <w:numPr>
          <w:ilvl w:val="0"/>
          <w:numId w:val="3"/>
        </w:numPr>
        <w:spacing w:line="360" w:lineRule="auto"/>
        <w:ind w:left="0" w:leftChars="0" w:firstLine="0" w:firstLineChars="0"/>
        <w:outlineLvl w:val="2"/>
        <w:rPr>
          <w:rFonts w:hint="eastAsia"/>
          <w:b/>
          <w:bCs/>
          <w:sz w:val="28"/>
          <w:lang w:val="en-US" w:eastAsia="zh-CN"/>
        </w:rPr>
      </w:pPr>
      <w:r>
        <w:rPr>
          <w:rFonts w:hint="eastAsia"/>
          <w:b/>
          <w:bCs/>
          <w:sz w:val="28"/>
          <w:lang w:val="en-US" w:eastAsia="zh-CN"/>
        </w:rPr>
        <w:t>项目其他要求</w:t>
      </w:r>
    </w:p>
    <w:p>
      <w:pPr>
        <w:spacing w:line="360" w:lineRule="auto"/>
        <w:ind w:firstLine="480" w:firstLineChars="200"/>
        <w:rPr>
          <w:rFonts w:ascii="宋体" w:hAnsi="宋体" w:cs="宋体"/>
          <w:sz w:val="24"/>
        </w:rPr>
      </w:pPr>
      <w:r>
        <w:rPr>
          <w:rFonts w:hint="eastAsia" w:ascii="宋体" w:hAnsi="宋体" w:cs="宋体"/>
          <w:sz w:val="24"/>
        </w:rPr>
        <w:t>1.磋商响应供应商必须提供所响应产品的全套（软件、硬件主体、辅材、配件）的品牌、型号、详细配置、技术规格、主要参数、性能说明、功能介绍、具体产地、生产厂家、数量及对应的分项报价（含单价和总价）等。</w:t>
      </w:r>
    </w:p>
    <w:p>
      <w:pPr>
        <w:spacing w:line="360" w:lineRule="auto"/>
        <w:ind w:firstLine="480" w:firstLineChars="200"/>
        <w:rPr>
          <w:rFonts w:ascii="宋体" w:hAnsi="宋体" w:cs="宋体"/>
          <w:sz w:val="24"/>
        </w:rPr>
      </w:pPr>
      <w:r>
        <w:rPr>
          <w:rFonts w:hint="eastAsia" w:ascii="宋体" w:hAnsi="宋体" w:cs="宋体"/>
          <w:sz w:val="24"/>
        </w:rPr>
        <w:t>2.磋商响应供应商必须对产品的制造标准、安装标准、技术规范和货物的可维护性、适用性、安全、环保、可靠性等方面进行综合描述。并提供货物及配件、使用材料的品牌、规格型号、产地、技术参数、性能指标、全部账号密码等方面的详细说明。磋商响应供应商提供的货物及制作安装采用的各种配件、材料均必须符合设计要求及国家相关标准。</w:t>
      </w:r>
    </w:p>
    <w:p>
      <w:pPr>
        <w:spacing w:line="360" w:lineRule="auto"/>
        <w:ind w:firstLine="480" w:firstLineChars="200"/>
        <w:rPr>
          <w:rFonts w:ascii="宋体" w:hAnsi="宋体" w:cs="宋体"/>
          <w:sz w:val="24"/>
        </w:rPr>
      </w:pPr>
      <w:r>
        <w:rPr>
          <w:rFonts w:hint="eastAsia" w:ascii="宋体" w:hAnsi="宋体" w:cs="宋体"/>
          <w:sz w:val="24"/>
        </w:rPr>
        <w:t>3.磋商响应供应商应在磋商响应文件中附上磋商响应货物的技术说明书（中文版，若无中文版，应同时提供中文的翻译材料并对翻译的准确性负责）。</w:t>
      </w:r>
    </w:p>
    <w:p>
      <w:pPr>
        <w:spacing w:line="360" w:lineRule="auto"/>
        <w:ind w:firstLine="480" w:firstLineChars="200"/>
        <w:rPr>
          <w:rFonts w:ascii="宋体" w:hAnsi="宋体" w:cs="宋体"/>
          <w:sz w:val="24"/>
        </w:rPr>
      </w:pPr>
      <w:r>
        <w:rPr>
          <w:rFonts w:hint="eastAsia" w:ascii="宋体" w:hAnsi="宋体" w:cs="宋体"/>
          <w:sz w:val="24"/>
        </w:rPr>
        <w:t>4.磋商响应供应商应根据项目要求提供完整的项目实施服务方案，包括供货、安装调试、使用培训等方案。</w:t>
      </w:r>
    </w:p>
    <w:p>
      <w:pPr>
        <w:spacing w:line="360" w:lineRule="auto"/>
        <w:ind w:firstLine="480" w:firstLineChars="200"/>
        <w:rPr>
          <w:rFonts w:ascii="宋体" w:hAnsi="宋体" w:cs="宋体"/>
          <w:sz w:val="24"/>
        </w:rPr>
      </w:pPr>
      <w:r>
        <w:rPr>
          <w:rFonts w:hint="eastAsia" w:ascii="宋体" w:hAnsi="宋体" w:cs="宋体"/>
          <w:sz w:val="24"/>
        </w:rPr>
        <w:t>5.磋商响应供应商提供的货物技术规格、安装标准及技术规范等必须符合国家和行业规定标准、规范要求，技术参数与配置要求不低于本项目提供的技术参数与配置要求。本次采购的货物，磋商响应供应商须保证提供的所有货物必须是未经拆封、原厂正规合格、品质优良的产品、软件必须为正版软件、技术资料齐全、满足磋商文件的基本要求。</w:t>
      </w:r>
    </w:p>
    <w:p>
      <w:pPr>
        <w:spacing w:line="360" w:lineRule="auto"/>
        <w:ind w:firstLine="480" w:firstLineChars="200"/>
        <w:rPr>
          <w:rFonts w:ascii="宋体" w:hAnsi="宋体" w:cs="宋体"/>
          <w:sz w:val="24"/>
        </w:rPr>
      </w:pPr>
      <w:r>
        <w:rPr>
          <w:rFonts w:hint="eastAsia" w:ascii="宋体" w:hAnsi="宋体" w:cs="宋体"/>
          <w:sz w:val="24"/>
        </w:rPr>
        <w:t>6.磋商响应供应商必须保证采购人在使用其成交货物过程的任何时候不受到第三方提出侵犯其知识产权（专利权、商标权、工业设计权及使用权）的纠纷，否则，由此产生的任何责任完全由成交供应商承担。</w:t>
      </w:r>
    </w:p>
    <w:p>
      <w:pPr>
        <w:spacing w:line="360" w:lineRule="auto"/>
        <w:ind w:firstLine="480" w:firstLineChars="200"/>
        <w:rPr>
          <w:rFonts w:ascii="宋体" w:hAnsi="宋体" w:cs="宋体"/>
          <w:sz w:val="24"/>
        </w:rPr>
      </w:pPr>
      <w:r>
        <w:rPr>
          <w:rFonts w:hint="eastAsia" w:ascii="宋体" w:hAnsi="宋体" w:cs="宋体"/>
          <w:sz w:val="24"/>
        </w:rPr>
        <w:t>7.磋商响应供应商应向采购人提供以下中文技术资料（包括但不限于）：</w:t>
      </w:r>
    </w:p>
    <w:p>
      <w:pPr>
        <w:spacing w:line="360" w:lineRule="auto"/>
        <w:ind w:firstLine="480" w:firstLineChars="200"/>
        <w:rPr>
          <w:rFonts w:ascii="宋体" w:hAnsi="宋体" w:cs="宋体"/>
          <w:sz w:val="24"/>
        </w:rPr>
      </w:pPr>
      <w:r>
        <w:rPr>
          <w:rFonts w:hint="eastAsia" w:ascii="宋体" w:hAnsi="宋体" w:cs="宋体"/>
          <w:sz w:val="24"/>
        </w:rPr>
        <w:t>7.1技术说明书（含电气原理图及其符号说明）；</w:t>
      </w:r>
    </w:p>
    <w:p>
      <w:pPr>
        <w:spacing w:line="360" w:lineRule="auto"/>
        <w:ind w:firstLine="480" w:firstLineChars="200"/>
        <w:rPr>
          <w:rFonts w:ascii="宋体" w:hAnsi="宋体" w:cs="宋体"/>
          <w:sz w:val="24"/>
        </w:rPr>
      </w:pPr>
      <w:r>
        <w:rPr>
          <w:rFonts w:hint="eastAsia" w:ascii="宋体" w:hAnsi="宋体" w:cs="宋体"/>
          <w:sz w:val="24"/>
        </w:rPr>
        <w:t>7.2安装图纸（部件安装图，电气接线图）；</w:t>
      </w:r>
    </w:p>
    <w:p>
      <w:pPr>
        <w:spacing w:line="360" w:lineRule="auto"/>
        <w:ind w:firstLine="480" w:firstLineChars="200"/>
        <w:rPr>
          <w:rFonts w:ascii="宋体" w:hAnsi="宋体" w:cs="宋体"/>
          <w:sz w:val="24"/>
        </w:rPr>
      </w:pPr>
      <w:r>
        <w:rPr>
          <w:rFonts w:hint="eastAsia" w:ascii="宋体" w:hAnsi="宋体" w:cs="宋体"/>
          <w:sz w:val="24"/>
        </w:rPr>
        <w:t>7.3安装、调试、使用保养维修手册（或说明书）；</w:t>
      </w:r>
    </w:p>
    <w:p>
      <w:pPr>
        <w:spacing w:line="360" w:lineRule="auto"/>
        <w:ind w:firstLine="480" w:firstLineChars="200"/>
        <w:rPr>
          <w:rFonts w:ascii="宋体" w:hAnsi="宋体" w:cs="宋体"/>
          <w:sz w:val="24"/>
        </w:rPr>
      </w:pPr>
      <w:r>
        <w:rPr>
          <w:rFonts w:hint="eastAsia" w:ascii="宋体" w:hAnsi="宋体" w:cs="宋体"/>
          <w:sz w:val="24"/>
        </w:rPr>
        <w:t>7.4系统操作手册；</w:t>
      </w:r>
    </w:p>
    <w:p>
      <w:pPr>
        <w:spacing w:line="360" w:lineRule="auto"/>
        <w:ind w:firstLine="480" w:firstLineChars="200"/>
        <w:rPr>
          <w:rFonts w:ascii="宋体" w:hAnsi="宋体" w:cs="宋体"/>
          <w:sz w:val="24"/>
        </w:rPr>
      </w:pPr>
      <w:r>
        <w:rPr>
          <w:rFonts w:hint="eastAsia" w:ascii="宋体" w:hAnsi="宋体" w:cs="宋体"/>
          <w:sz w:val="24"/>
        </w:rPr>
        <w:t>7.5产品技术标准（含验收标准）和试验方法，产品原产地出厂合格证；</w:t>
      </w:r>
    </w:p>
    <w:p>
      <w:pPr>
        <w:spacing w:line="360" w:lineRule="auto"/>
        <w:ind w:firstLine="480" w:firstLineChars="200"/>
        <w:rPr>
          <w:rFonts w:ascii="宋体" w:hAnsi="宋体" w:cs="宋体"/>
          <w:sz w:val="24"/>
        </w:rPr>
      </w:pPr>
      <w:r>
        <w:rPr>
          <w:rFonts w:hint="eastAsia" w:ascii="宋体" w:hAnsi="宋体" w:cs="宋体"/>
          <w:sz w:val="24"/>
        </w:rPr>
        <w:t>7.6设备的出厂检验报告和检验证书、装箱单；</w:t>
      </w:r>
    </w:p>
    <w:p>
      <w:pPr>
        <w:spacing w:line="360" w:lineRule="auto"/>
        <w:ind w:firstLine="480" w:firstLineChars="200"/>
        <w:rPr>
          <w:rFonts w:ascii="宋体" w:hAnsi="宋体" w:cs="宋体"/>
          <w:sz w:val="24"/>
        </w:rPr>
      </w:pPr>
      <w:r>
        <w:rPr>
          <w:rFonts w:hint="eastAsia" w:ascii="宋体" w:hAnsi="宋体" w:cs="宋体"/>
          <w:sz w:val="24"/>
        </w:rPr>
        <w:t>7.7零部件目录、相关文件、支持程序软盘或光盘；</w:t>
      </w:r>
    </w:p>
    <w:p>
      <w:pPr>
        <w:spacing w:line="360" w:lineRule="auto"/>
        <w:ind w:firstLine="480" w:firstLineChars="200"/>
        <w:rPr>
          <w:rFonts w:ascii="宋体" w:hAnsi="宋体" w:cs="宋体"/>
          <w:sz w:val="24"/>
        </w:rPr>
      </w:pPr>
      <w:r>
        <w:rPr>
          <w:rFonts w:hint="eastAsia" w:ascii="宋体" w:hAnsi="宋体" w:cs="宋体"/>
          <w:sz w:val="24"/>
        </w:rPr>
        <w:t>7.8所有权限的全部账号密码；</w:t>
      </w:r>
    </w:p>
    <w:p>
      <w:pPr>
        <w:spacing w:line="360" w:lineRule="auto"/>
        <w:ind w:firstLine="480" w:firstLineChars="200"/>
        <w:rPr>
          <w:rFonts w:hint="default" w:ascii="宋体" w:hAnsi="宋体" w:eastAsia="宋体" w:cs="宋体"/>
          <w:kern w:val="2"/>
          <w:sz w:val="24"/>
          <w:szCs w:val="24"/>
          <w:lang w:val="en-US" w:eastAsia="zh-CN" w:bidi="ar-SA"/>
        </w:rPr>
        <w:sectPr>
          <w:pgSz w:w="11906" w:h="16838"/>
          <w:pgMar w:top="1440" w:right="1701" w:bottom="1440" w:left="1701" w:header="851" w:footer="992" w:gutter="0"/>
          <w:cols w:space="425" w:num="1"/>
          <w:docGrid w:type="linesAndChars" w:linePitch="312" w:charSpace="0"/>
        </w:sectPr>
      </w:pPr>
      <w:r>
        <w:rPr>
          <w:rFonts w:hint="eastAsia" w:ascii="宋体" w:hAnsi="宋体" w:cs="宋体"/>
          <w:sz w:val="24"/>
        </w:rPr>
        <w:t>7.9其他资料。</w:t>
      </w:r>
    </w:p>
    <w:p>
      <w:pPr>
        <w:spacing w:line="360" w:lineRule="auto"/>
        <w:outlineLvl w:val="1"/>
        <w:rPr>
          <w:rFonts w:ascii="Arial" w:hAnsi="宋体" w:cs="Arial"/>
          <w:sz w:val="24"/>
          <w:szCs w:val="21"/>
        </w:rPr>
      </w:pPr>
      <w:r>
        <w:rPr>
          <w:rFonts w:hint="eastAsia"/>
          <w:b/>
          <w:bCs/>
          <w:sz w:val="28"/>
        </w:rPr>
        <w:t>二、采购要求</w:t>
      </w:r>
    </w:p>
    <w:p>
      <w:pPr>
        <w:tabs>
          <w:tab w:val="left" w:pos="0"/>
          <w:tab w:val="left" w:pos="540"/>
          <w:tab w:val="left" w:pos="780"/>
        </w:tabs>
        <w:spacing w:line="360" w:lineRule="auto"/>
        <w:outlineLvl w:val="2"/>
        <w:rPr>
          <w:rFonts w:hint="eastAsia" w:ascii="Arial" w:hAnsi="宋体" w:eastAsia="宋体" w:cs="Arial"/>
          <w:sz w:val="24"/>
          <w:szCs w:val="21"/>
        </w:rPr>
      </w:pPr>
      <w:r>
        <w:rPr>
          <w:rFonts w:hint="eastAsia" w:ascii="Arial" w:hAnsi="宋体" w:eastAsia="宋体" w:cs="Arial"/>
          <w:sz w:val="24"/>
          <w:szCs w:val="21"/>
        </w:rPr>
        <w:t>（一）报价人应根据本采购文件中提出的技术要求，在报价文件中提供技术应答书或技术建议书，并在技术偏离表中一一对应标注清楚。</w:t>
      </w:r>
    </w:p>
    <w:p>
      <w:pPr>
        <w:tabs>
          <w:tab w:val="left" w:pos="0"/>
          <w:tab w:val="left" w:pos="540"/>
          <w:tab w:val="left" w:pos="780"/>
        </w:tabs>
        <w:spacing w:line="360" w:lineRule="auto"/>
        <w:outlineLvl w:val="2"/>
        <w:rPr>
          <w:rFonts w:hint="eastAsia" w:ascii="Arial" w:hAnsi="宋体" w:eastAsia="宋体" w:cs="Arial"/>
          <w:sz w:val="24"/>
          <w:szCs w:val="21"/>
        </w:rPr>
      </w:pPr>
      <w:r>
        <w:rPr>
          <w:rFonts w:hint="eastAsia" w:ascii="Arial" w:hAnsi="宋体" w:eastAsia="宋体" w:cs="Arial"/>
          <w:sz w:val="24"/>
          <w:szCs w:val="21"/>
        </w:rPr>
        <w:t>（二）报价人必须提供营业执照有效复印件以及企业法定代表人对报价代表的授权书原件。报价代表必须为报价单位员工，需提供身份证明及医社保缴交证明材料。</w:t>
      </w:r>
    </w:p>
    <w:p>
      <w:pPr>
        <w:tabs>
          <w:tab w:val="left" w:pos="0"/>
          <w:tab w:val="left" w:pos="540"/>
          <w:tab w:val="left" w:pos="780"/>
        </w:tabs>
        <w:spacing w:line="360" w:lineRule="auto"/>
        <w:outlineLvl w:val="2"/>
        <w:rPr>
          <w:rFonts w:hint="eastAsia" w:ascii="Arial" w:hAnsi="宋体" w:eastAsia="宋体" w:cs="Arial"/>
          <w:sz w:val="24"/>
          <w:szCs w:val="21"/>
        </w:rPr>
      </w:pPr>
      <w:r>
        <w:rPr>
          <w:rFonts w:hint="eastAsia" w:ascii="Arial" w:hAnsi="宋体" w:eastAsia="宋体" w:cs="Arial"/>
          <w:sz w:val="24"/>
          <w:szCs w:val="21"/>
        </w:rPr>
        <w:t>（三）报价文件必须包含投标书、开标一览表、投标货物说明一览表、供货配置清单、产品技术偏离表、资格证明文件、投标货物生产经销代理证明或授权书（经销商或代理商）、售后服务承诺及本招标文件要求的其他主要内容，以上材料须加盖投标人公章。</w:t>
      </w:r>
    </w:p>
    <w:p>
      <w:pPr>
        <w:tabs>
          <w:tab w:val="left" w:pos="0"/>
          <w:tab w:val="left" w:pos="540"/>
          <w:tab w:val="left" w:pos="780"/>
        </w:tabs>
        <w:spacing w:line="360" w:lineRule="auto"/>
        <w:outlineLvl w:val="2"/>
        <w:rPr>
          <w:rFonts w:ascii="Arial" w:hAnsi="宋体" w:cs="Arial"/>
          <w:sz w:val="24"/>
          <w:szCs w:val="21"/>
        </w:rPr>
      </w:pPr>
      <w:r>
        <w:rPr>
          <w:rFonts w:hint="eastAsia" w:ascii="Arial" w:hAnsi="宋体" w:cs="Arial"/>
          <w:sz w:val="24"/>
          <w:szCs w:val="21"/>
        </w:rPr>
        <w:t>（四）本次采购的报价文件需正本</w:t>
      </w:r>
      <w:r>
        <w:rPr>
          <w:rFonts w:ascii="Arial" w:hAnsi="宋体" w:cs="Arial"/>
          <w:sz w:val="24"/>
          <w:szCs w:val="21"/>
        </w:rPr>
        <w:t>1</w:t>
      </w:r>
      <w:r>
        <w:rPr>
          <w:rFonts w:hint="eastAsia" w:ascii="Arial" w:hAnsi="宋体" w:cs="Arial"/>
          <w:sz w:val="24"/>
          <w:szCs w:val="21"/>
        </w:rPr>
        <w:t>份、副本3份。</w:t>
      </w:r>
    </w:p>
    <w:p>
      <w:pPr>
        <w:tabs>
          <w:tab w:val="left" w:pos="0"/>
          <w:tab w:val="left" w:pos="540"/>
        </w:tabs>
        <w:spacing w:line="360" w:lineRule="auto"/>
        <w:rPr>
          <w:rFonts w:ascii="Arial" w:hAnsi="宋体" w:cs="Arial"/>
          <w:sz w:val="24"/>
          <w:szCs w:val="21"/>
        </w:rPr>
      </w:pPr>
      <w:r>
        <w:rPr>
          <w:rFonts w:hint="eastAsia" w:ascii="宋体" w:hAnsi="宋体"/>
          <w:sz w:val="24"/>
        </w:rPr>
        <w:t>（五）合同签订：中标供应商在中标公告发布后3个工作日内与嘉庚创新实验室资产采购管理室处签订合同。投标文件、中标供应商的投标文件及其澄清文件均作为签订技术和服务协议、合同订立的基础。</w:t>
      </w:r>
    </w:p>
    <w:p>
      <w:pPr>
        <w:spacing w:line="360" w:lineRule="auto"/>
        <w:outlineLvl w:val="1"/>
        <w:rPr>
          <w:b/>
          <w:sz w:val="28"/>
          <w:szCs w:val="28"/>
        </w:rPr>
      </w:pPr>
      <w:r>
        <w:rPr>
          <w:rFonts w:hint="eastAsia"/>
          <w:b/>
          <w:sz w:val="28"/>
          <w:szCs w:val="28"/>
        </w:rPr>
        <w:t>三、报价要求</w:t>
      </w:r>
    </w:p>
    <w:p>
      <w:pPr>
        <w:spacing w:line="360" w:lineRule="auto"/>
        <w:ind w:firstLine="480" w:firstLineChars="200"/>
        <w:rPr>
          <w:rFonts w:asciiTheme="majorEastAsia" w:hAnsiTheme="majorEastAsia" w:eastAsiaTheme="majorEastAsia" w:cstheme="majorEastAsia"/>
          <w:b/>
          <w:bCs/>
          <w:sz w:val="24"/>
        </w:rPr>
      </w:pPr>
      <w:r>
        <w:rPr>
          <w:rFonts w:hint="eastAsia"/>
          <w:sz w:val="24"/>
        </w:rPr>
        <w:t>投标人以人民币方式进行报价，投标总价包含项目启动、试运行、上线等、经用户验收小组验收合格并交付使用期间可能发生的费用，包括系统所需设备及图纸设计中所涉及的一切材料、采购保管、运输、安装调试、施工配合费、技术服务与培训、售后服务以及税收、规费等一切费用。本次采购为交钥匙项目。</w:t>
      </w:r>
    </w:p>
    <w:p>
      <w:pPr>
        <w:spacing w:line="360" w:lineRule="auto"/>
        <w:outlineLvl w:val="1"/>
        <w:rPr>
          <w:b/>
          <w:sz w:val="28"/>
          <w:szCs w:val="28"/>
        </w:rPr>
      </w:pPr>
      <w:r>
        <w:rPr>
          <w:rFonts w:hint="eastAsia"/>
          <w:b/>
          <w:sz w:val="28"/>
          <w:szCs w:val="28"/>
        </w:rPr>
        <w:t>四、验收要求</w:t>
      </w:r>
    </w:p>
    <w:p>
      <w:pPr>
        <w:tabs>
          <w:tab w:val="left" w:pos="0"/>
          <w:tab w:val="left" w:pos="540"/>
        </w:tabs>
        <w:spacing w:line="360" w:lineRule="auto"/>
        <w:ind w:firstLine="480" w:firstLineChars="200"/>
        <w:outlineLvl w:val="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采购文件、报价文件、厂家货物技术标准说明及有关国家的质量标准规定，均作为验收标准。中标人提交相关软件技术文档、验收文档、系统程序（光盘）和用户手册等。中标人根据招标需求进行系统开发工作，达到各项技术和功能要求，完成系统部署、培训和上线运行，待系统运行稳定后，提交验收。</w:t>
      </w:r>
    </w:p>
    <w:p>
      <w:pPr>
        <w:tabs>
          <w:tab w:val="left" w:pos="0"/>
          <w:tab w:val="left" w:pos="540"/>
        </w:tabs>
        <w:spacing w:line="360" w:lineRule="auto"/>
        <w:ind w:firstLine="480" w:firstLineChars="200"/>
        <w:outlineLvl w:val="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二）</w:t>
      </w:r>
      <w:r>
        <w:rPr>
          <w:rFonts w:hint="eastAsia" w:asciiTheme="majorEastAsia" w:hAnsiTheme="majorEastAsia" w:eastAsiaTheme="majorEastAsia" w:cstheme="majorEastAsia"/>
          <w:sz w:val="24"/>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ind w:firstLine="480" w:firstLineChars="200"/>
        <w:outlineLvl w:val="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具备正式验收条件后，采购人组织项目组成员以及相关专家，举行项目验收评审会议进行验收，会议通过或有条件通过（在满足提出的修改意见之后），同时出具《验收报告》，则视为正式验收合格。验收时中标供应商代表必须在场。验收合格后，中标供应商凭用户出具的验收合格书至嘉庚创新实验室资采室处根据合同规定办理付款手续。验收不合格的，供应商须先进行整改，仍旧不合格的，用户有权退货。</w:t>
      </w:r>
    </w:p>
    <w:p>
      <w:pPr>
        <w:tabs>
          <w:tab w:val="left" w:pos="0"/>
          <w:tab w:val="left" w:pos="540"/>
        </w:tabs>
        <w:spacing w:line="360" w:lineRule="auto"/>
        <w:ind w:firstLine="480" w:firstLineChars="200"/>
        <w:outlineLvl w:val="2"/>
        <w:rPr>
          <w:rFonts w:ascii="Arial" w:hAnsi="宋体" w:cs="Arial"/>
          <w:sz w:val="24"/>
          <w:szCs w:val="21"/>
        </w:rPr>
      </w:pPr>
      <w:r>
        <w:rPr>
          <w:rFonts w:hint="eastAsia" w:asciiTheme="majorEastAsia" w:hAnsiTheme="majorEastAsia" w:eastAsiaTheme="majorEastAsia" w:cstheme="majorEastAsia"/>
          <w:sz w:val="24"/>
        </w:rPr>
        <w:t>（四）合同签订后，</w:t>
      </w:r>
      <w:r>
        <w:rPr>
          <w:rFonts w:asciiTheme="majorEastAsia" w:hAnsiTheme="majorEastAsia" w:eastAsiaTheme="majorEastAsia" w:cstheme="majorEastAsia"/>
          <w:sz w:val="24"/>
        </w:rPr>
        <w:t>120</w:t>
      </w:r>
      <w:r>
        <w:rPr>
          <w:rFonts w:hint="eastAsia" w:asciiTheme="majorEastAsia" w:hAnsiTheme="majorEastAsia" w:eastAsiaTheme="majorEastAsia" w:cstheme="majorEastAsia"/>
          <w:sz w:val="24"/>
        </w:rPr>
        <w:t>天内交货。</w:t>
      </w:r>
    </w:p>
    <w:p>
      <w:pPr>
        <w:spacing w:line="360" w:lineRule="auto"/>
        <w:ind w:left="562" w:hanging="562" w:hangingChars="200"/>
        <w:outlineLvl w:val="1"/>
        <w:rPr>
          <w:sz w:val="28"/>
          <w:szCs w:val="28"/>
        </w:rPr>
      </w:pPr>
      <w:r>
        <w:rPr>
          <w:rFonts w:hint="eastAsia"/>
          <w:b/>
          <w:sz w:val="28"/>
          <w:szCs w:val="28"/>
        </w:rPr>
        <w:t>五、付款条件</w:t>
      </w:r>
    </w:p>
    <w:p>
      <w:pPr>
        <w:spacing w:line="360" w:lineRule="auto"/>
        <w:ind w:firstLine="480" w:firstLineChars="200"/>
        <w:rPr>
          <w:rFonts w:ascii="Arial" w:hAnsi="宋体" w:cs="Arial"/>
          <w:sz w:val="24"/>
          <w:szCs w:val="21"/>
        </w:rPr>
      </w:pPr>
      <w:r>
        <w:rPr>
          <w:rFonts w:hint="eastAsia"/>
          <w:sz w:val="24"/>
        </w:rPr>
        <w:t>合同签订后预付30%，用户验收小组验收合格交付使用的20个工作日内付65%货款，另外5%作为质保金，质保期结束后凭使用单位证明退还。</w:t>
      </w:r>
    </w:p>
    <w:p>
      <w:pPr>
        <w:jc w:val="center"/>
        <w:outlineLvl w:val="0"/>
        <w:rPr>
          <w:b/>
          <w:bCs/>
          <w:sz w:val="32"/>
          <w:szCs w:val="32"/>
        </w:rPr>
      </w:pPr>
      <w:r>
        <w:rPr>
          <w:rFonts w:hint="eastAsia"/>
          <w:b/>
          <w:bCs/>
          <w:sz w:val="32"/>
          <w:szCs w:val="32"/>
        </w:rPr>
        <w:t>第</w:t>
      </w:r>
      <w:r>
        <w:rPr>
          <w:rFonts w:hint="eastAsia"/>
          <w:b/>
          <w:bCs/>
          <w:sz w:val="32"/>
          <w:szCs w:val="32"/>
          <w:lang w:val="en-US" w:eastAsia="zh-CN"/>
        </w:rPr>
        <w:t>三</w:t>
      </w:r>
      <w:r>
        <w:rPr>
          <w:rFonts w:hint="eastAsia"/>
          <w:b/>
          <w:bCs/>
          <w:sz w:val="32"/>
          <w:szCs w:val="32"/>
        </w:rPr>
        <w:t>章</w:t>
      </w:r>
      <w:r>
        <w:rPr>
          <w:b/>
          <w:bCs/>
          <w:sz w:val="32"/>
          <w:szCs w:val="32"/>
        </w:rPr>
        <w:t xml:space="preserve">  </w:t>
      </w:r>
      <w:r>
        <w:rPr>
          <w:rFonts w:hint="eastAsia"/>
          <w:b/>
          <w:bCs/>
          <w:sz w:val="32"/>
          <w:szCs w:val="32"/>
        </w:rPr>
        <w:t>供应商须知</w:t>
      </w:r>
    </w:p>
    <w:p>
      <w:pPr>
        <w:pStyle w:val="2"/>
        <w:spacing w:before="0" w:after="0" w:line="360" w:lineRule="auto"/>
        <w:jc w:val="both"/>
        <w:outlineLvl w:val="1"/>
        <w:rPr>
          <w:rFonts w:hAnsi="宋体"/>
          <w:sz w:val="24"/>
          <w:szCs w:val="24"/>
        </w:rPr>
      </w:pPr>
      <w:r>
        <w:rPr>
          <w:rFonts w:hint="eastAsia" w:hAnsi="宋体"/>
          <w:sz w:val="24"/>
          <w:szCs w:val="24"/>
        </w:rPr>
        <w:t>（一）总则</w:t>
      </w:r>
    </w:p>
    <w:p>
      <w:pPr>
        <w:spacing w:before="120" w:line="360" w:lineRule="auto"/>
        <w:ind w:left="840" w:hanging="840" w:hangingChars="350"/>
        <w:outlineLvl w:val="2"/>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“成交供应商”指经谈判小组审查通过，招投标中心向其发出《成交通知书》并授予其成交合同的磋商供应商。</w:t>
      </w:r>
    </w:p>
    <w:p>
      <w:pPr>
        <w:spacing w:before="120" w:line="360" w:lineRule="auto"/>
        <w:ind w:left="840" w:hanging="840" w:hangingChars="350"/>
        <w:outlineLvl w:val="2"/>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lang w:eastAsia="zh-CN"/>
        </w:rPr>
        <w:t>.</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tabs>
          <w:tab w:val="left" w:pos="1200"/>
        </w:tabs>
        <w:spacing w:before="120" w:line="360" w:lineRule="auto"/>
        <w:outlineLvl w:val="2"/>
        <w:rPr>
          <w:rFonts w:hint="eastAsia"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rPr>
        <w:t>磋商供应商应遵守有关的国家法律、法规和条例，具备《中华人民共和国政府采购法》和本磋商谈判文件中规定的条件：</w:t>
      </w:r>
    </w:p>
    <w:p>
      <w:pPr>
        <w:tabs>
          <w:tab w:val="left" w:pos="1200"/>
        </w:tabs>
        <w:spacing w:before="120" w:line="360" w:lineRule="auto"/>
        <w:jc w:val="left"/>
        <w:rPr>
          <w:rFonts w:ascii="宋体"/>
          <w:sz w:val="24"/>
        </w:rPr>
      </w:pPr>
      <w:r>
        <w:rPr>
          <w:rFonts w:hint="eastAsia" w:ascii="宋体" w:hAnsi="宋体"/>
          <w:sz w:val="24"/>
        </w:rPr>
        <w:t xml:space="preserve">    具有独立承担民事责任的能力；</w:t>
      </w:r>
    </w:p>
    <w:p>
      <w:pPr>
        <w:tabs>
          <w:tab w:val="left" w:pos="1200"/>
        </w:tabs>
        <w:spacing w:before="120" w:line="360" w:lineRule="auto"/>
        <w:jc w:val="left"/>
        <w:rPr>
          <w:rFonts w:ascii="宋体"/>
          <w:sz w:val="24"/>
        </w:rPr>
      </w:pPr>
      <w:r>
        <w:rPr>
          <w:rFonts w:hint="eastAsia" w:ascii="宋体" w:hAnsi="宋体"/>
          <w:sz w:val="24"/>
        </w:rPr>
        <w:t xml:space="preserve">    具有良好的商业信誉和健全的财务会计制度；</w:t>
      </w:r>
    </w:p>
    <w:p>
      <w:pPr>
        <w:tabs>
          <w:tab w:val="left" w:pos="1200"/>
        </w:tabs>
        <w:spacing w:before="120" w:line="360" w:lineRule="auto"/>
        <w:jc w:val="left"/>
        <w:rPr>
          <w:rFonts w:ascii="宋体"/>
          <w:sz w:val="24"/>
        </w:rPr>
      </w:pPr>
      <w:r>
        <w:rPr>
          <w:rFonts w:hint="eastAsia" w:ascii="宋体" w:hAnsi="宋体"/>
          <w:sz w:val="24"/>
        </w:rPr>
        <w:t xml:space="preserve">    具有履行合同所必需的设备和专业技术能力；</w:t>
      </w:r>
    </w:p>
    <w:p>
      <w:pPr>
        <w:tabs>
          <w:tab w:val="left" w:pos="1200"/>
        </w:tabs>
        <w:spacing w:before="120" w:line="360" w:lineRule="auto"/>
        <w:jc w:val="left"/>
        <w:rPr>
          <w:rFonts w:ascii="宋体"/>
          <w:sz w:val="24"/>
        </w:rPr>
      </w:pPr>
      <w:r>
        <w:rPr>
          <w:rFonts w:hint="eastAsia" w:ascii="宋体" w:hAnsi="宋体"/>
          <w:sz w:val="24"/>
        </w:rPr>
        <w:t xml:space="preserve">    具有依法缴纳税收和社会保障资金的良好记录；</w:t>
      </w:r>
    </w:p>
    <w:p>
      <w:pPr>
        <w:tabs>
          <w:tab w:val="left" w:pos="1200"/>
        </w:tabs>
        <w:spacing w:before="120" w:line="360" w:lineRule="auto"/>
        <w:jc w:val="left"/>
        <w:rPr>
          <w:rFonts w:ascii="宋体"/>
          <w:sz w:val="24"/>
        </w:rPr>
      </w:pPr>
      <w:r>
        <w:rPr>
          <w:rFonts w:hint="eastAsia" w:ascii="宋体" w:hAnsi="宋体"/>
          <w:sz w:val="24"/>
        </w:rPr>
        <w:t xml:space="preserve">    参加此项采购活动前三年内，在经营活动中没有重大违法记录。</w:t>
      </w:r>
    </w:p>
    <w:p>
      <w:pPr>
        <w:tabs>
          <w:tab w:val="left" w:pos="1200"/>
        </w:tabs>
        <w:spacing w:before="120" w:line="360" w:lineRule="auto"/>
        <w:outlineLvl w:val="2"/>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outlineLvl w:val="2"/>
        <w:rPr>
          <w:rFonts w:ascii="宋体" w:hAnsi="宋体" w:eastAsia="宋体" w:cs="Times New Roman"/>
          <w:sz w:val="24"/>
        </w:rPr>
      </w:pPr>
      <w:r>
        <w:rPr>
          <w:rFonts w:ascii="宋体" w:hAnsi="宋体" w:eastAsia="宋体" w:cs="Times New Roman"/>
          <w:sz w:val="24"/>
        </w:rPr>
        <w:t>5.</w:t>
      </w:r>
      <w:r>
        <w:rPr>
          <w:rFonts w:hint="eastAsia" w:ascii="宋体" w:hAnsi="宋体" w:eastAsia="宋体" w:cs="Times New Roman"/>
          <w:sz w:val="24"/>
        </w:rPr>
        <w:t>如磋商供应商代表不是法定代表人，须持有《法定代表人授权委托书》</w:t>
      </w:r>
      <w:r>
        <w:rPr>
          <w:rFonts w:ascii="宋体" w:hAnsi="宋体" w:eastAsia="宋体" w:cs="Times New Roman"/>
          <w:sz w:val="24"/>
        </w:rPr>
        <w:t>(</w:t>
      </w:r>
      <w:r>
        <w:rPr>
          <w:rFonts w:hint="eastAsia" w:ascii="宋体" w:hAnsi="宋体" w:eastAsia="宋体" w:cs="Times New Roman"/>
          <w:sz w:val="24"/>
        </w:rPr>
        <w:t>按磋商谈判文件格式填写</w:t>
      </w:r>
      <w:r>
        <w:rPr>
          <w:rFonts w:ascii="宋体" w:hAnsi="宋体" w:eastAsia="宋体" w:cs="Times New Roman"/>
          <w:sz w:val="24"/>
        </w:rPr>
        <w:t>)</w:t>
      </w:r>
      <w:r>
        <w:rPr>
          <w:rFonts w:hint="eastAsia" w:ascii="宋体" w:hAnsi="宋体" w:eastAsia="宋体" w:cs="Times New Roman"/>
          <w:sz w:val="24"/>
        </w:rPr>
        <w:t>。</w:t>
      </w:r>
    </w:p>
    <w:p>
      <w:pPr>
        <w:spacing w:before="120" w:line="360" w:lineRule="auto"/>
        <w:outlineLvl w:val="2"/>
        <w:rPr>
          <w:rFonts w:ascii="宋体"/>
          <w:sz w:val="24"/>
        </w:rPr>
      </w:pPr>
      <w:r>
        <w:rPr>
          <w:rFonts w:hint="eastAsia" w:ascii="宋体" w:hAnsi="宋体"/>
          <w:sz w:val="24"/>
          <w:lang w:val="en-US" w:eastAsia="zh-CN"/>
        </w:rPr>
        <w:t>6</w:t>
      </w:r>
      <w:r>
        <w:rPr>
          <w:rFonts w:ascii="宋体" w:hAnsi="宋体"/>
          <w:sz w:val="24"/>
        </w:rPr>
        <w:t>.</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w:t>
      </w:r>
      <w:r>
        <w:rPr>
          <w:rFonts w:hint="eastAsia" w:ascii="宋体" w:hAnsi="宋体"/>
          <w:sz w:val="24"/>
          <w:lang w:val="en-US" w:eastAsia="zh-CN"/>
        </w:rPr>
        <w:t>资采室</w:t>
      </w:r>
      <w:r>
        <w:rPr>
          <w:rFonts w:hint="eastAsia" w:ascii="宋体" w:hAnsi="宋体"/>
          <w:sz w:val="24"/>
        </w:rPr>
        <w:t>将本次磋商公告刊登的媒体上发布公告的形式，向潜在磋商供应商发出。收到通知的磋商供应商应以书面方式立即予以回复确认。</w:t>
      </w:r>
    </w:p>
    <w:p>
      <w:pPr>
        <w:tabs>
          <w:tab w:val="left" w:pos="540"/>
        </w:tabs>
        <w:spacing w:line="360" w:lineRule="auto"/>
        <w:outlineLvl w:val="1"/>
        <w:rPr>
          <w:rFonts w:ascii="Arial" w:hAnsi="宋体" w:cs="Arial"/>
          <w:b/>
          <w:sz w:val="24"/>
          <w:szCs w:val="21"/>
        </w:rPr>
      </w:pPr>
      <w:r>
        <w:rPr>
          <w:rFonts w:hint="eastAsia" w:ascii="Arial" w:hAnsi="宋体" w:cs="Arial"/>
          <w:b/>
          <w:sz w:val="24"/>
          <w:szCs w:val="21"/>
        </w:rPr>
        <w:t>（二）磋商程序</w:t>
      </w:r>
    </w:p>
    <w:p>
      <w:pPr>
        <w:pStyle w:val="31"/>
        <w:widowControl w:val="0"/>
        <w:numPr>
          <w:ilvl w:val="0"/>
          <w:numId w:val="4"/>
        </w:numPr>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组建谈判小组</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根据有关法律法规和本磋商谈判文件的规定，结合本磋商项目的特点组建谈判小组，对具备实质性响应的响应文件进行评估和比较。</w:t>
      </w:r>
    </w:p>
    <w:p>
      <w:pPr>
        <w:pStyle w:val="31"/>
        <w:widowControl w:val="0"/>
        <w:numPr>
          <w:ilvl w:val="0"/>
          <w:numId w:val="4"/>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磋商准备与初步评审</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6"/>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6"/>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6"/>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31"/>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响应的澄清</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31"/>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对响应文件的详细评审</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经磋商确定最终采购需求和提交最后报价的供应商后，由谈判小组采用综合评议法对提交最后报价的供应商的响应文件和最后报价进行综合评议。</w:t>
      </w:r>
    </w:p>
    <w:p>
      <w:pPr>
        <w:pStyle w:val="31"/>
        <w:widowControl w:val="0"/>
        <w:numPr>
          <w:ilvl w:val="1"/>
          <w:numId w:val="4"/>
        </w:numPr>
        <w:adjustRightInd w:val="0"/>
        <w:spacing w:before="0" w:beforeAutospacing="0" w:after="0" w:afterAutospacing="0" w:line="360" w:lineRule="auto"/>
        <w:jc w:val="both"/>
        <w:outlineLvl w:val="9"/>
        <w:rPr>
          <w:rFonts w:ascii="宋体" w:eastAsia="宋体" w:cs="微软雅黑"/>
          <w:sz w:val="24"/>
          <w:szCs w:val="28"/>
        </w:rPr>
      </w:pPr>
      <w:r>
        <w:rPr>
          <w:rFonts w:hint="eastAsia" w:ascii="宋体" w:eastAsia="宋体" w:cs="微软雅黑"/>
          <w:sz w:val="24"/>
          <w:szCs w:val="28"/>
        </w:rPr>
        <w:t>综合评分法：</w:t>
      </w:r>
    </w:p>
    <w:p>
      <w:pPr>
        <w:spacing w:line="360" w:lineRule="auto"/>
        <w:rPr>
          <w:rFonts w:ascii="宋体"/>
          <w:sz w:val="24"/>
        </w:rPr>
      </w:pPr>
      <w:r>
        <w:rPr>
          <w:rFonts w:hint="eastAsia" w:ascii="宋体" w:hAnsi="宋体"/>
          <w:sz w:val="24"/>
        </w:rPr>
        <w:t>首先，由评标委员会根据招标文件要求，审核各投标文件是否合格、有效，凡不符合要求和未能实质性响应招标文件要求的投标文件均不进入评议程序。如果发现下列情况之一的，其投标将被拒绝而作为废标处理：</w:t>
      </w:r>
    </w:p>
    <w:p>
      <w:pPr>
        <w:pStyle w:val="31"/>
        <w:widowControl w:val="0"/>
        <w:numPr>
          <w:numId w:val="0"/>
        </w:numPr>
        <w:adjustRightInd w:val="0"/>
        <w:spacing w:before="0" w:beforeAutospacing="0" w:after="0" w:afterAutospacing="0" w:line="400" w:lineRule="exact"/>
        <w:ind w:leftChars="0" w:firstLine="480" w:firstLineChars="200"/>
        <w:jc w:val="both"/>
        <w:outlineLvl w:val="9"/>
        <w:rPr>
          <w:rFonts w:hint="eastAsia" w:ascii="宋体" w:hAnsi="宋体" w:eastAsia="宋体" w:cs="微软雅黑"/>
          <w:sz w:val="24"/>
          <w:szCs w:val="24"/>
        </w:rPr>
      </w:pPr>
      <w:r>
        <w:rPr>
          <w:rFonts w:hint="eastAsia" w:ascii="宋体" w:hAnsi="宋体" w:eastAsia="宋体" w:cs="微软雅黑"/>
          <w:sz w:val="24"/>
          <w:szCs w:val="24"/>
        </w:rPr>
        <w:t>1. 投标文件未按规定密封或采用活页装订；</w:t>
      </w:r>
    </w:p>
    <w:p>
      <w:pPr>
        <w:spacing w:line="360" w:lineRule="auto"/>
        <w:ind w:firstLine="480" w:firstLineChars="200"/>
        <w:rPr>
          <w:rFonts w:ascii="宋体"/>
          <w:sz w:val="24"/>
        </w:rPr>
      </w:pPr>
      <w:r>
        <w:rPr>
          <w:rFonts w:ascii="宋体" w:hAnsi="宋体"/>
          <w:sz w:val="24"/>
        </w:rPr>
        <w:t xml:space="preserve">2. </w:t>
      </w:r>
      <w:r>
        <w:rPr>
          <w:rFonts w:hint="eastAsia" w:ascii="宋体" w:hAnsi="宋体"/>
          <w:sz w:val="24"/>
        </w:rPr>
        <w:t>未加盖法人公章或未经法定代表人（或其委托代理人）签字的；</w:t>
      </w:r>
    </w:p>
    <w:p>
      <w:pPr>
        <w:spacing w:line="360" w:lineRule="auto"/>
        <w:ind w:firstLine="480" w:firstLineChars="200"/>
        <w:rPr>
          <w:rFonts w:ascii="宋体"/>
          <w:sz w:val="24"/>
        </w:rPr>
      </w:pPr>
      <w:r>
        <w:rPr>
          <w:rFonts w:hint="eastAsia" w:ascii="宋体" w:hAnsi="宋体"/>
          <w:sz w:val="24"/>
        </w:rPr>
        <w:t>3</w:t>
      </w:r>
      <w:r>
        <w:rPr>
          <w:rFonts w:ascii="宋体" w:hAnsi="宋体"/>
          <w:sz w:val="24"/>
        </w:rPr>
        <w:t xml:space="preserve">. </w:t>
      </w:r>
      <w:r>
        <w:rPr>
          <w:rFonts w:hint="eastAsia" w:ascii="宋体" w:hAnsi="宋体"/>
          <w:sz w:val="24"/>
        </w:rPr>
        <w:t>未按招标文件规定的格式填写或投标报价一览表等关键内容字迹模不清的；</w:t>
      </w:r>
    </w:p>
    <w:p>
      <w:pPr>
        <w:pStyle w:val="31"/>
        <w:widowControl w:val="0"/>
        <w:numPr>
          <w:ilvl w:val="0"/>
          <w:numId w:val="0"/>
        </w:numPr>
        <w:adjustRightInd w:val="0"/>
        <w:spacing w:before="0" w:beforeAutospacing="0" w:after="0" w:afterAutospacing="0" w:line="400" w:lineRule="exact"/>
        <w:ind w:leftChars="0" w:firstLine="480" w:firstLineChars="200"/>
        <w:jc w:val="both"/>
        <w:outlineLvl w:val="9"/>
        <w:rPr>
          <w:rFonts w:hint="eastAsia" w:ascii="宋体" w:hAnsi="宋体" w:eastAsia="宋体" w:cs="微软雅黑"/>
          <w:sz w:val="24"/>
          <w:szCs w:val="24"/>
        </w:rPr>
      </w:pPr>
      <w:r>
        <w:rPr>
          <w:rFonts w:hint="eastAsia" w:ascii="宋体" w:hAnsi="宋体" w:eastAsia="宋体" w:cs="微软雅黑"/>
          <w:sz w:val="24"/>
          <w:szCs w:val="24"/>
        </w:rPr>
        <w:t>4. 未实质性响应本文件中带★号的条款要求的；</w:t>
      </w:r>
    </w:p>
    <w:p>
      <w:pPr>
        <w:pStyle w:val="31"/>
        <w:widowControl w:val="0"/>
        <w:numPr>
          <w:ilvl w:val="0"/>
          <w:numId w:val="0"/>
        </w:numPr>
        <w:adjustRightInd w:val="0"/>
        <w:spacing w:before="0" w:beforeAutospacing="0" w:after="0" w:afterAutospacing="0" w:line="400" w:lineRule="exact"/>
        <w:ind w:leftChars="0" w:firstLine="480" w:firstLineChars="200"/>
        <w:jc w:val="both"/>
        <w:outlineLvl w:val="9"/>
        <w:rPr>
          <w:rFonts w:hint="eastAsia" w:ascii="宋体" w:hAnsi="宋体" w:eastAsia="宋体" w:cs="微软雅黑"/>
          <w:sz w:val="24"/>
          <w:szCs w:val="24"/>
        </w:rPr>
      </w:pPr>
      <w:r>
        <w:rPr>
          <w:rFonts w:hint="eastAsia" w:ascii="宋体" w:hAnsi="宋体" w:eastAsia="宋体" w:cs="微软雅黑"/>
          <w:sz w:val="24"/>
          <w:szCs w:val="24"/>
        </w:rPr>
        <w:t>5. 不符合法律法规和不能满足招标文件提出的实质性要求和条件；</w:t>
      </w:r>
    </w:p>
    <w:p>
      <w:pPr>
        <w:pStyle w:val="31"/>
        <w:widowControl w:val="0"/>
        <w:numPr>
          <w:ilvl w:val="0"/>
          <w:numId w:val="0"/>
        </w:numPr>
        <w:adjustRightInd w:val="0"/>
        <w:spacing w:before="0" w:beforeAutospacing="0" w:after="0" w:afterAutospacing="0" w:line="400" w:lineRule="exact"/>
        <w:ind w:leftChars="0" w:firstLine="480" w:firstLineChars="200"/>
        <w:jc w:val="both"/>
        <w:outlineLvl w:val="9"/>
        <w:rPr>
          <w:rFonts w:hint="eastAsia" w:ascii="宋体" w:hAnsi="宋体" w:eastAsia="宋体" w:cs="微软雅黑"/>
          <w:sz w:val="24"/>
          <w:szCs w:val="24"/>
        </w:rPr>
      </w:pPr>
      <w:r>
        <w:rPr>
          <w:rFonts w:hint="eastAsia" w:ascii="宋体" w:hAnsi="宋体" w:eastAsia="宋体" w:cs="微软雅黑"/>
          <w:sz w:val="24"/>
          <w:szCs w:val="24"/>
        </w:rPr>
        <w:t>6. 投标文件中提供虚假或失实资料的；</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投标报价超过本项目最高控制价，采购人不能支付的。</w:t>
      </w:r>
    </w:p>
    <w:p>
      <w:pPr>
        <w:spacing w:line="360" w:lineRule="auto"/>
        <w:rPr>
          <w:rFonts w:ascii="宋体" w:hAnsi="宋体"/>
          <w:sz w:val="24"/>
        </w:rPr>
      </w:pPr>
      <w:r>
        <w:rPr>
          <w:rFonts w:hint="eastAsia" w:ascii="宋体" w:hAnsi="宋体"/>
          <w:sz w:val="24"/>
        </w:rPr>
        <w:t>对资格性检查和符合性检查合格的投标文件进入综合评分。评标委员会各位评委依据评分标准以及各项权重，就每个合格投标人的投标文件及其对招标文件要求的响应情况进行综合比较和评价，统计每个通过审核的投标人的技术、商务、价格及附加项目（如有）得分，评标委员会根据最终评审的结果，推荐综合得分最高的投标人中标，如综合得分相同，以报价较低者中标。</w:t>
      </w:r>
    </w:p>
    <w:p>
      <w:pPr>
        <w:pStyle w:val="33"/>
        <w:numPr>
          <w:ilvl w:val="1"/>
          <w:numId w:val="4"/>
        </w:numPr>
        <w:ind w:firstLineChars="0"/>
        <w:rPr>
          <w:rFonts w:ascii="宋体" w:hAnsi="宋体" w:cs="微软雅黑"/>
          <w:kern w:val="0"/>
          <w:sz w:val="24"/>
          <w:szCs w:val="24"/>
        </w:rPr>
      </w:pPr>
      <w:r>
        <w:rPr>
          <w:rFonts w:hint="eastAsia" w:ascii="宋体" w:hAnsi="宋体" w:cs="微软雅黑"/>
          <w:kern w:val="0"/>
          <w:sz w:val="24"/>
          <w:szCs w:val="24"/>
        </w:rPr>
        <w:t>磋商小组依据总分（技术分与报价分之和）由高到低的顺序确定总分最高的响应方为中标供应商，并拟制磋商结果报告。</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规模、品牌代理实力、经营能力、企业管理水平。</w:t>
      </w:r>
    </w:p>
    <w:p>
      <w:pPr>
        <w:pStyle w:val="31"/>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确定成交人</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采购人出磋商谈判规定外，不得通过对样品进行检测、对供应商进行考察等方式改变评审结果。</w:t>
      </w:r>
    </w:p>
    <w:p>
      <w:pPr>
        <w:pStyle w:val="31"/>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评标过程保密</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在评标期间，响应人企图影响招投标中心或谈判小组的任何活动，将导致响应被拒绝，并由其承担相应的法律责任。</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31"/>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关于响应人瑕疵滞后发现的处理规则：</w:t>
      </w:r>
    </w:p>
    <w:p>
      <w:pPr>
        <w:pStyle w:val="31"/>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31"/>
        <w:widowControl w:val="0"/>
        <w:numPr>
          <w:ilvl w:val="0"/>
          <w:numId w:val="4"/>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采购项目废标</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7"/>
        </w:numPr>
        <w:spacing w:line="360" w:lineRule="auto"/>
        <w:ind w:firstLine="720" w:firstLineChars="300"/>
        <w:rPr>
          <w:rFonts w:hint="eastAsia" w:ascii="宋体" w:hAnsi="宋体" w:eastAsia="宋体" w:cs="微软雅黑"/>
          <w:kern w:val="0"/>
          <w:sz w:val="24"/>
          <w:szCs w:val="24"/>
          <w:lang w:val="en-US" w:eastAsia="zh-CN" w:bidi="ar-SA"/>
        </w:rPr>
      </w:pPr>
      <w:r>
        <w:rPr>
          <w:rFonts w:hint="eastAsia" w:ascii="宋体" w:hAnsi="宋体" w:eastAsia="宋体" w:cs="微软雅黑"/>
          <w:kern w:val="0"/>
          <w:sz w:val="24"/>
          <w:szCs w:val="24"/>
          <w:lang w:val="en-US" w:eastAsia="zh-CN" w:bidi="ar-SA"/>
        </w:rPr>
        <w:t>因情况变化，不再符合规定的竞争性磋商采购方式适用情形的；</w:t>
      </w:r>
    </w:p>
    <w:p>
      <w:pPr>
        <w:numPr>
          <w:ilvl w:val="0"/>
          <w:numId w:val="7"/>
        </w:numPr>
        <w:spacing w:line="360" w:lineRule="auto"/>
        <w:ind w:firstLine="720" w:firstLineChars="300"/>
        <w:rPr>
          <w:rFonts w:ascii="宋体" w:cs="微软雅黑"/>
          <w:sz w:val="24"/>
        </w:rPr>
      </w:pPr>
      <w:r>
        <w:rPr>
          <w:rFonts w:hint="eastAsia" w:ascii="宋体" w:hAnsi="宋体" w:eastAsia="宋体" w:cs="Times New Roman"/>
          <w:sz w:val="24"/>
          <w:lang w:val="en-US" w:eastAsia="zh-CN"/>
        </w:rPr>
        <w:t>出现影响采购公正的违法、违规行为的；</w:t>
      </w:r>
    </w:p>
    <w:p>
      <w:pPr>
        <w:numPr>
          <w:ilvl w:val="0"/>
          <w:numId w:val="7"/>
        </w:numPr>
        <w:spacing w:line="360" w:lineRule="auto"/>
        <w:ind w:firstLine="720" w:firstLineChars="300"/>
        <w:rPr>
          <w:rFonts w:ascii="宋体" w:cs="微软雅黑"/>
          <w:sz w:val="24"/>
        </w:rPr>
      </w:pPr>
      <w:r>
        <w:rPr>
          <w:rFonts w:hint="eastAsia" w:ascii="宋体" w:hAnsi="宋体" w:cs="微软雅黑"/>
          <w:sz w:val="24"/>
        </w:rPr>
        <w:t>采购项目废标后，谈判小组应作出书面报告。</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31"/>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废标后，招投标中心应当将废标原因通知所有响应人。</w:t>
      </w:r>
    </w:p>
    <w:p>
      <w:pPr>
        <w:numPr>
          <w:ilvl w:val="0"/>
          <w:numId w:val="8"/>
        </w:numPr>
        <w:spacing w:line="360" w:lineRule="auto"/>
        <w:ind w:firstLine="482" w:firstLineChars="200"/>
        <w:outlineLvl w:val="1"/>
        <w:rPr>
          <w:rFonts w:ascii="宋体" w:hAnsi="宋体"/>
          <w:b/>
          <w:sz w:val="24"/>
        </w:rPr>
      </w:pPr>
      <w:r>
        <w:rPr>
          <w:rFonts w:hint="eastAsia" w:ascii="宋体" w:hAnsi="宋体"/>
          <w:b/>
          <w:sz w:val="24"/>
        </w:rPr>
        <w:t>评分标准：</w:t>
      </w:r>
    </w:p>
    <w:p>
      <w:pPr>
        <w:pStyle w:val="31"/>
        <w:widowControl w:val="0"/>
        <w:numPr>
          <w:ilvl w:val="0"/>
          <w:numId w:val="9"/>
        </w:numPr>
        <w:adjustRightInd w:val="0"/>
        <w:spacing w:before="0" w:beforeAutospacing="0" w:after="0" w:afterAutospacing="0" w:line="400" w:lineRule="exact"/>
        <w:jc w:val="both"/>
        <w:outlineLvl w:val="2"/>
        <w:rPr>
          <w:rFonts w:hint="eastAsia" w:ascii="宋体" w:hAnsi="宋体" w:eastAsia="宋体" w:cs="微软雅黑"/>
          <w:b/>
          <w:bCs/>
          <w:sz w:val="24"/>
          <w:szCs w:val="24"/>
        </w:rPr>
      </w:pPr>
      <w:r>
        <w:rPr>
          <w:rFonts w:hint="eastAsia" w:ascii="宋体" w:hAnsi="宋体" w:eastAsia="宋体" w:cs="微软雅黑"/>
          <w:b/>
          <w:bCs/>
          <w:sz w:val="24"/>
          <w:szCs w:val="24"/>
        </w:rPr>
        <w:t>技术分F1（满分60分）</w:t>
      </w:r>
    </w:p>
    <w:tbl>
      <w:tblPr>
        <w:tblStyle w:val="19"/>
        <w:tblW w:w="1021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692"/>
        <w:gridCol w:w="7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3" w:type="dxa"/>
            <w:tcBorders>
              <w:top w:val="single" w:color="auto" w:sz="6" w:space="0"/>
              <w:left w:val="single" w:color="auto" w:sz="6" w:space="0"/>
              <w:bottom w:val="single" w:color="auto" w:sz="4" w:space="0"/>
              <w:right w:val="single" w:color="auto" w:sz="4" w:space="0"/>
            </w:tcBorders>
            <w:vAlign w:val="center"/>
          </w:tcPr>
          <w:p>
            <w:pPr>
              <w:pStyle w:val="56"/>
              <w:autoSpaceDE w:val="0"/>
              <w:spacing w:line="360" w:lineRule="auto"/>
              <w:ind w:left="-37" w:leftChars="-42" w:right="-84" w:rightChars="-40" w:hanging="51" w:hangingChars="21"/>
              <w:jc w:val="center"/>
              <w:rPr>
                <w:rFonts w:hAnsi="宋体"/>
                <w:b/>
                <w:bCs/>
                <w:kern w:val="10"/>
              </w:rPr>
            </w:pPr>
            <w:r>
              <w:rPr>
                <w:rFonts w:hint="eastAsia" w:hAnsi="宋体"/>
                <w:b/>
                <w:bCs/>
                <w:kern w:val="10"/>
              </w:rPr>
              <w:t>序号</w:t>
            </w:r>
          </w:p>
        </w:tc>
        <w:tc>
          <w:tcPr>
            <w:tcW w:w="8692" w:type="dxa"/>
            <w:tcBorders>
              <w:top w:val="single" w:color="auto" w:sz="6" w:space="0"/>
              <w:left w:val="single" w:color="auto" w:sz="4" w:space="0"/>
              <w:bottom w:val="single" w:color="auto" w:sz="4" w:space="0"/>
              <w:right w:val="single" w:color="auto" w:sz="4" w:space="0"/>
            </w:tcBorders>
            <w:vAlign w:val="center"/>
          </w:tcPr>
          <w:p>
            <w:pPr>
              <w:pStyle w:val="56"/>
              <w:autoSpaceDE w:val="0"/>
              <w:spacing w:line="360" w:lineRule="auto"/>
              <w:ind w:firstLine="720"/>
              <w:jc w:val="center"/>
              <w:rPr>
                <w:rFonts w:hAnsi="宋体"/>
                <w:b/>
                <w:bCs/>
                <w:kern w:val="2"/>
              </w:rPr>
            </w:pPr>
            <w:r>
              <w:rPr>
                <w:rFonts w:hint="eastAsia" w:hAnsi="宋体"/>
                <w:b/>
              </w:rPr>
              <w:t>评分因素及评分细则</w:t>
            </w:r>
          </w:p>
        </w:tc>
        <w:tc>
          <w:tcPr>
            <w:tcW w:w="741" w:type="dxa"/>
            <w:tcBorders>
              <w:top w:val="single" w:color="auto" w:sz="6" w:space="0"/>
              <w:left w:val="single" w:color="auto" w:sz="4" w:space="0"/>
              <w:bottom w:val="single" w:color="auto" w:sz="4" w:space="0"/>
              <w:right w:val="single" w:color="auto" w:sz="6" w:space="0"/>
            </w:tcBorders>
            <w:vAlign w:val="center"/>
          </w:tcPr>
          <w:p>
            <w:pPr>
              <w:pStyle w:val="56"/>
              <w:autoSpaceDE w:val="0"/>
              <w:spacing w:line="360" w:lineRule="auto"/>
              <w:rPr>
                <w:rFonts w:hAnsi="宋体"/>
                <w:b/>
                <w:bCs/>
                <w:kern w:val="2"/>
              </w:rPr>
            </w:pPr>
            <w:r>
              <w:rPr>
                <w:rFonts w:hint="eastAsia" w:hAnsi="宋体"/>
                <w:b/>
                <w:bCs/>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kern w:val="10"/>
              </w:rPr>
            </w:pPr>
            <w:r>
              <w:rPr>
                <w:rFonts w:hint="eastAsia" w:ascii="宋体" w:hAnsi="宋体" w:cs="宋体"/>
                <w:sz w:val="24"/>
              </w:rPr>
              <w:t>1-1</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kern w:val="0"/>
                <w:sz w:val="24"/>
              </w:rPr>
            </w:pPr>
            <w:r>
              <w:rPr>
                <w:rFonts w:hint="eastAsia" w:ascii="宋体" w:hAnsi="宋体"/>
                <w:kern w:val="0"/>
                <w:sz w:val="24"/>
              </w:rPr>
              <w:t>根据磋商响应供应商提供的方案，符合</w:t>
            </w:r>
            <w:r>
              <w:rPr>
                <w:rFonts w:hint="eastAsia" w:ascii="宋体" w:hAnsi="宋体" w:cs="宋体"/>
                <w:kern w:val="0"/>
                <w:sz w:val="24"/>
              </w:rPr>
              <w:t>2</w:t>
            </w:r>
            <w:r>
              <w:rPr>
                <w:rFonts w:ascii="宋体" w:hAnsi="宋体" w:cs="宋体"/>
                <w:kern w:val="0"/>
                <w:sz w:val="24"/>
              </w:rPr>
              <w:t>00</w:t>
            </w:r>
            <w:r>
              <w:rPr>
                <w:rFonts w:hint="eastAsia" w:ascii="宋体" w:hAnsi="宋体" w:cs="宋体"/>
                <w:kern w:val="0"/>
                <w:sz w:val="24"/>
              </w:rPr>
              <w:t>m</w:t>
            </w:r>
            <w:r>
              <w:rPr>
                <w:rFonts w:ascii="宋体" w:hAnsi="宋体" w:cs="宋体"/>
                <w:kern w:val="0"/>
                <w:sz w:val="24"/>
              </w:rPr>
              <w:t>L</w:t>
            </w:r>
            <w:r>
              <w:rPr>
                <w:rFonts w:hint="eastAsia" w:ascii="宋体" w:hAnsi="宋体" w:cs="宋体"/>
                <w:kern w:val="0"/>
                <w:sz w:val="24"/>
              </w:rPr>
              <w:t>催化剂装填量的得</w:t>
            </w:r>
            <w:r>
              <w:rPr>
                <w:rFonts w:ascii="宋体" w:hAnsi="宋体" w:cs="宋体"/>
                <w:kern w:val="0"/>
                <w:sz w:val="24"/>
              </w:rPr>
              <w:t>1</w:t>
            </w:r>
            <w:r>
              <w:rPr>
                <w:rFonts w:hint="eastAsia" w:ascii="宋体" w:hAnsi="宋体" w:cs="宋体"/>
                <w:kern w:val="0"/>
                <w:sz w:val="24"/>
              </w:rPr>
              <w:t>分，偏离超过</w:t>
            </w:r>
            <w:r>
              <w:rPr>
                <w:rFonts w:ascii="宋体" w:hAnsi="宋体" w:cs="宋体"/>
                <w:kern w:val="0"/>
                <w:sz w:val="24"/>
              </w:rPr>
              <w:t xml:space="preserve">10 </w:t>
            </w:r>
            <w:r>
              <w:rPr>
                <w:rFonts w:hint="eastAsia" w:ascii="宋体" w:hAnsi="宋体" w:cs="宋体"/>
                <w:kern w:val="0"/>
                <w:sz w:val="24"/>
              </w:rPr>
              <w:t>m</w:t>
            </w:r>
            <w:r>
              <w:rPr>
                <w:rFonts w:ascii="宋体" w:hAnsi="宋体" w:cs="宋体"/>
                <w:kern w:val="0"/>
                <w:sz w:val="24"/>
              </w:rPr>
              <w:t>L</w:t>
            </w:r>
            <w:r>
              <w:rPr>
                <w:rFonts w:hint="eastAsia" w:ascii="宋体" w:hAnsi="宋体" w:cs="宋体"/>
                <w:kern w:val="0"/>
                <w:sz w:val="24"/>
              </w:rPr>
              <w:t>，此项得分为0。</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sz w:val="24"/>
              </w:rPr>
            </w:pPr>
            <w:r>
              <w:rPr>
                <w:rFonts w:ascii="宋体" w:hAnsi="宋体" w:cs="宋体"/>
                <w:kern w:val="0"/>
                <w:sz w:val="24"/>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kern w:val="10"/>
                <w:sz w:val="28"/>
              </w:rPr>
            </w:pPr>
            <w:r>
              <w:rPr>
                <w:rFonts w:hint="eastAsia" w:ascii="宋体" w:hAnsi="宋体" w:cs="宋体"/>
                <w:sz w:val="24"/>
              </w:rPr>
              <w:t>1-2</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kern w:val="0"/>
                <w:sz w:val="24"/>
              </w:rPr>
            </w:pPr>
            <w:r>
              <w:rPr>
                <w:rFonts w:hint="eastAsia" w:ascii="宋体" w:hAnsi="宋体"/>
                <w:kern w:val="0"/>
                <w:sz w:val="24"/>
              </w:rPr>
              <w:t>根据磋商响应供应商提供的方案，符合反应器内径5</w:t>
            </w:r>
            <w:r>
              <w:rPr>
                <w:rFonts w:ascii="宋体" w:hAnsi="宋体"/>
                <w:kern w:val="0"/>
                <w:sz w:val="24"/>
              </w:rPr>
              <w:t>0</w:t>
            </w:r>
            <w:r>
              <w:rPr>
                <w:rFonts w:hint="eastAsia" w:ascii="宋体" w:hAnsi="宋体"/>
                <w:kern w:val="0"/>
                <w:sz w:val="24"/>
              </w:rPr>
              <w:t>mm±5mm得</w:t>
            </w:r>
            <w:r>
              <w:rPr>
                <w:rFonts w:ascii="宋体" w:hAnsi="宋体"/>
                <w:kern w:val="0"/>
                <w:sz w:val="24"/>
              </w:rPr>
              <w:t>1</w:t>
            </w:r>
            <w:r>
              <w:rPr>
                <w:rFonts w:hint="eastAsia" w:ascii="宋体" w:hAnsi="宋体"/>
                <w:kern w:val="0"/>
                <w:sz w:val="24"/>
              </w:rPr>
              <w:t>分，每偏离5mm扣</w:t>
            </w:r>
            <w:r>
              <w:rPr>
                <w:rFonts w:ascii="宋体" w:hAnsi="宋体"/>
                <w:kern w:val="0"/>
                <w:sz w:val="24"/>
              </w:rPr>
              <w:t>0.5</w:t>
            </w:r>
            <w:r>
              <w:rPr>
                <w:rFonts w:hint="eastAsia" w:ascii="宋体" w:hAnsi="宋体"/>
                <w:kern w:val="0"/>
                <w:sz w:val="24"/>
              </w:rPr>
              <w:t>分，</w:t>
            </w:r>
            <w:r>
              <w:rPr>
                <w:rFonts w:hint="eastAsia" w:ascii="宋体" w:hAnsi="宋体" w:cs="宋体"/>
                <w:kern w:val="0"/>
                <w:sz w:val="24"/>
              </w:rPr>
              <w:t>直至此项得分为0。</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kern w:val="10"/>
                <w:sz w:val="28"/>
              </w:rPr>
            </w:pPr>
            <w:r>
              <w:rPr>
                <w:rFonts w:hint="eastAsia" w:ascii="宋体" w:hAnsi="宋体" w:cs="宋体"/>
                <w:sz w:val="24"/>
              </w:rPr>
              <w:t>1-3</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kern w:val="0"/>
                <w:sz w:val="24"/>
              </w:rPr>
            </w:pPr>
            <w:r>
              <w:rPr>
                <w:rFonts w:hint="eastAsia" w:ascii="宋体" w:hAnsi="宋体"/>
                <w:kern w:val="0"/>
                <w:sz w:val="24"/>
              </w:rPr>
              <w:t>根据磋商响应供应商提供的方案，符合反应器恒温段≥2</w:t>
            </w:r>
            <w:r>
              <w:rPr>
                <w:rFonts w:ascii="宋体" w:hAnsi="宋体"/>
                <w:kern w:val="0"/>
                <w:sz w:val="24"/>
              </w:rPr>
              <w:t>60</w:t>
            </w:r>
            <w:r>
              <w:rPr>
                <w:rFonts w:hint="eastAsia" w:ascii="宋体" w:hAnsi="宋体"/>
                <w:kern w:val="0"/>
                <w:sz w:val="24"/>
              </w:rPr>
              <w:t>mm的基础上，每增加1</w:t>
            </w:r>
            <w:r>
              <w:rPr>
                <w:rFonts w:ascii="宋体" w:hAnsi="宋体"/>
                <w:kern w:val="0"/>
                <w:sz w:val="24"/>
              </w:rPr>
              <w:t>0</w:t>
            </w:r>
            <w:r>
              <w:rPr>
                <w:rFonts w:hint="eastAsia" w:ascii="宋体" w:hAnsi="宋体"/>
                <w:kern w:val="0"/>
                <w:sz w:val="24"/>
              </w:rPr>
              <w:t>mm加0</w:t>
            </w:r>
            <w:r>
              <w:rPr>
                <w:rFonts w:ascii="宋体" w:hAnsi="宋体"/>
                <w:kern w:val="0"/>
                <w:sz w:val="24"/>
              </w:rPr>
              <w:t>.5</w:t>
            </w:r>
            <w:r>
              <w:rPr>
                <w:rFonts w:hint="eastAsia" w:ascii="宋体" w:hAnsi="宋体"/>
                <w:kern w:val="0"/>
                <w:sz w:val="24"/>
              </w:rPr>
              <w:t>分，最高得分为</w:t>
            </w:r>
            <w:r>
              <w:rPr>
                <w:rFonts w:ascii="宋体" w:hAnsi="宋体"/>
                <w:kern w:val="0"/>
                <w:sz w:val="24"/>
              </w:rPr>
              <w:t>2</w:t>
            </w:r>
            <w:r>
              <w:rPr>
                <w:rFonts w:hint="eastAsia" w:ascii="宋体" w:hAnsi="宋体"/>
                <w:kern w:val="0"/>
                <w:sz w:val="24"/>
              </w:rPr>
              <w:t>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kern w:val="0"/>
                <w:sz w:val="24"/>
              </w:rPr>
            </w:pPr>
            <w:r>
              <w:rPr>
                <w:rFonts w:ascii="宋体" w:hAnsi="宋体" w:cs="宋体"/>
                <w:sz w:val="24"/>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kern w:val="10"/>
                <w:sz w:val="28"/>
              </w:rPr>
            </w:pPr>
            <w:r>
              <w:rPr>
                <w:rFonts w:hint="eastAsia" w:ascii="宋体" w:hAnsi="宋体" w:cs="宋体"/>
                <w:sz w:val="24"/>
              </w:rPr>
              <w:t>1-4</w:t>
            </w:r>
          </w:p>
        </w:tc>
        <w:tc>
          <w:tcPr>
            <w:tcW w:w="8692" w:type="dxa"/>
            <w:tcBorders>
              <w:top w:val="single" w:color="auto" w:sz="6" w:space="0"/>
              <w:left w:val="single" w:color="auto" w:sz="4" w:space="0"/>
              <w:bottom w:val="single" w:color="auto" w:sz="6" w:space="0"/>
              <w:right w:val="single" w:color="auto" w:sz="4" w:space="0"/>
            </w:tcBorders>
          </w:tcPr>
          <w:p>
            <w:pPr>
              <w:spacing w:line="360" w:lineRule="auto"/>
              <w:rPr>
                <w:rFonts w:ascii="宋体" w:hAnsi="宋体" w:cs="宋体"/>
                <w:sz w:val="24"/>
              </w:rPr>
            </w:pPr>
            <w:r>
              <w:rPr>
                <w:rFonts w:hint="eastAsia" w:ascii="宋体" w:hAnsi="宋体"/>
                <w:kern w:val="0"/>
                <w:sz w:val="24"/>
              </w:rPr>
              <w:t>根据磋商响应供应商提供的方案，符合设计压力≥0</w:t>
            </w:r>
            <w:r>
              <w:rPr>
                <w:rFonts w:ascii="宋体" w:hAnsi="宋体"/>
                <w:kern w:val="0"/>
                <w:sz w:val="24"/>
              </w:rPr>
              <w:t>.5MP</w:t>
            </w:r>
            <w:r>
              <w:rPr>
                <w:rFonts w:hint="eastAsia" w:ascii="宋体" w:hAnsi="宋体"/>
                <w:kern w:val="0"/>
                <w:sz w:val="24"/>
              </w:rPr>
              <w:t>a的基础上，得0</w:t>
            </w:r>
            <w:r>
              <w:rPr>
                <w:rFonts w:ascii="宋体" w:hAnsi="宋体"/>
                <w:kern w:val="0"/>
                <w:sz w:val="24"/>
              </w:rPr>
              <w:t>.5</w:t>
            </w:r>
            <w:r>
              <w:rPr>
                <w:rFonts w:hint="eastAsia" w:ascii="宋体" w:hAnsi="宋体"/>
                <w:kern w:val="0"/>
                <w:sz w:val="24"/>
              </w:rPr>
              <w:t>分，每提高0</w:t>
            </w:r>
            <w:r>
              <w:rPr>
                <w:rFonts w:ascii="宋体" w:hAnsi="宋体"/>
                <w:kern w:val="0"/>
                <w:sz w:val="24"/>
              </w:rPr>
              <w:t>.5M</w:t>
            </w:r>
            <w:r>
              <w:rPr>
                <w:rFonts w:hint="eastAsia" w:ascii="宋体" w:hAnsi="宋体"/>
                <w:kern w:val="0"/>
                <w:sz w:val="24"/>
              </w:rPr>
              <w:t>pa加</w:t>
            </w:r>
            <w:r>
              <w:rPr>
                <w:rFonts w:ascii="宋体" w:hAnsi="宋体"/>
                <w:kern w:val="0"/>
                <w:sz w:val="24"/>
              </w:rPr>
              <w:t>1</w:t>
            </w:r>
            <w:r>
              <w:rPr>
                <w:rFonts w:hint="eastAsia" w:ascii="宋体" w:hAnsi="宋体"/>
                <w:kern w:val="0"/>
                <w:sz w:val="24"/>
              </w:rPr>
              <w:t>分，最高</w:t>
            </w:r>
            <w:r>
              <w:rPr>
                <w:rFonts w:ascii="宋体" w:hAnsi="宋体"/>
                <w:kern w:val="0"/>
                <w:sz w:val="24"/>
              </w:rPr>
              <w:t>1</w:t>
            </w:r>
            <w:r>
              <w:rPr>
                <w:rFonts w:hint="eastAsia" w:ascii="宋体" w:hAnsi="宋体"/>
                <w:kern w:val="0"/>
                <w:sz w:val="24"/>
              </w:rPr>
              <w:t>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sz w:val="24"/>
              </w:rPr>
            </w:pPr>
            <w:r>
              <w:rPr>
                <w:rFonts w:ascii="宋体" w:hAnsi="宋体" w:cs="宋体"/>
                <w:sz w:val="24"/>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kern w:val="10"/>
                <w:sz w:val="28"/>
              </w:rPr>
            </w:pPr>
            <w:r>
              <w:rPr>
                <w:rFonts w:hint="eastAsia" w:ascii="宋体" w:hAnsi="宋体" w:cs="宋体"/>
                <w:sz w:val="24"/>
              </w:rPr>
              <w:t>1-5</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根据磋商响应供应商提供的方案，符合加热炉最高温度≥6</w:t>
            </w:r>
            <w:r>
              <w:rPr>
                <w:rFonts w:ascii="宋体" w:hAnsi="宋体"/>
                <w:kern w:val="0"/>
                <w:sz w:val="24"/>
              </w:rPr>
              <w:t>50</w:t>
            </w:r>
            <w:r>
              <w:rPr>
                <w:rFonts w:hint="eastAsia" w:ascii="宋体" w:hAnsi="宋体"/>
                <w:kern w:val="0"/>
                <w:sz w:val="24"/>
              </w:rPr>
              <w:t>℃的基础上，每提高5</w:t>
            </w:r>
            <w:r>
              <w:rPr>
                <w:rFonts w:ascii="宋体" w:hAnsi="宋体"/>
                <w:kern w:val="0"/>
                <w:sz w:val="24"/>
              </w:rPr>
              <w:t>0</w:t>
            </w:r>
            <w:r>
              <w:rPr>
                <w:rFonts w:hint="eastAsia" w:ascii="宋体" w:hAnsi="宋体"/>
                <w:kern w:val="0"/>
                <w:sz w:val="24"/>
              </w:rPr>
              <w:t>度加</w:t>
            </w:r>
            <w:r>
              <w:rPr>
                <w:rFonts w:ascii="宋体" w:hAnsi="宋体"/>
                <w:kern w:val="0"/>
                <w:sz w:val="24"/>
              </w:rPr>
              <w:t>0.5</w:t>
            </w:r>
            <w:r>
              <w:rPr>
                <w:rFonts w:hint="eastAsia" w:ascii="宋体" w:hAnsi="宋体"/>
                <w:kern w:val="0"/>
                <w:sz w:val="24"/>
              </w:rPr>
              <w:t>分，最高为</w:t>
            </w:r>
            <w:r>
              <w:rPr>
                <w:rFonts w:ascii="宋体" w:hAnsi="宋体"/>
                <w:kern w:val="0"/>
                <w:sz w:val="24"/>
              </w:rPr>
              <w:t>1.5</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sz w:val="24"/>
              </w:rPr>
            </w:pPr>
            <w:r>
              <w:rPr>
                <w:rFonts w:ascii="宋体" w:hAnsi="宋体" w:cs="宋体"/>
                <w:sz w:val="24"/>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3" w:type="dxa"/>
            <w:vAlign w:val="center"/>
          </w:tcPr>
          <w:p>
            <w:pPr>
              <w:widowControl/>
              <w:spacing w:line="360" w:lineRule="auto"/>
              <w:jc w:val="center"/>
              <w:rPr>
                <w:rFonts w:ascii="宋体" w:hAnsi="宋体" w:cs="宋体"/>
                <w:bCs/>
                <w:kern w:val="10"/>
                <w:sz w:val="28"/>
              </w:rPr>
            </w:pPr>
            <w:r>
              <w:rPr>
                <w:rFonts w:hint="eastAsia" w:ascii="宋体" w:hAnsi="宋体" w:cs="宋体"/>
                <w:sz w:val="24"/>
              </w:rPr>
              <w:t>1-6</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根据磋商响应供应商提供的方案，加热炉符合≥5段炉的基础上，每增加1段加</w:t>
            </w:r>
            <w:r>
              <w:rPr>
                <w:rFonts w:ascii="宋体" w:hAnsi="宋体"/>
                <w:kern w:val="0"/>
                <w:sz w:val="24"/>
              </w:rPr>
              <w:t>0.5</w:t>
            </w:r>
            <w:r>
              <w:rPr>
                <w:rFonts w:hint="eastAsia" w:ascii="宋体" w:hAnsi="宋体"/>
                <w:kern w:val="0"/>
                <w:sz w:val="24"/>
              </w:rPr>
              <w:t>分，最高为</w:t>
            </w:r>
            <w:r>
              <w:rPr>
                <w:rFonts w:ascii="宋体" w:hAnsi="宋体"/>
                <w:kern w:val="0"/>
                <w:sz w:val="24"/>
              </w:rPr>
              <w:t>1.5</w:t>
            </w:r>
            <w:r>
              <w:rPr>
                <w:rFonts w:hint="eastAsia" w:ascii="宋体" w:hAnsi="宋体"/>
                <w:kern w:val="0"/>
                <w:sz w:val="24"/>
              </w:rPr>
              <w:t>分；具有快速降温设计的加</w:t>
            </w:r>
            <w:r>
              <w:rPr>
                <w:rFonts w:ascii="宋体" w:hAnsi="宋体"/>
                <w:kern w:val="0"/>
                <w:sz w:val="24"/>
              </w:rPr>
              <w:t>0.5</w:t>
            </w:r>
            <w:r>
              <w:rPr>
                <w:rFonts w:hint="eastAsia" w:ascii="宋体" w:hAnsi="宋体"/>
                <w:kern w:val="0"/>
                <w:sz w:val="24"/>
              </w:rPr>
              <w:t>分，否则不加分。</w:t>
            </w:r>
          </w:p>
        </w:tc>
        <w:tc>
          <w:tcPr>
            <w:tcW w:w="741" w:type="dxa"/>
            <w:vAlign w:val="center"/>
          </w:tcPr>
          <w:p>
            <w:pPr>
              <w:widowControl/>
              <w:spacing w:line="360" w:lineRule="auto"/>
              <w:jc w:val="center"/>
              <w:rPr>
                <w:rFonts w:ascii="宋体" w:hAnsi="宋体" w:cs="宋体"/>
                <w:sz w:val="24"/>
              </w:rPr>
            </w:pPr>
            <w:r>
              <w:rPr>
                <w:rFonts w:ascii="宋体" w:hAnsi="宋体" w:cs="宋体"/>
                <w:sz w:val="24"/>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3" w:type="dxa"/>
            <w:vAlign w:val="center"/>
          </w:tcPr>
          <w:p>
            <w:pPr>
              <w:widowControl/>
              <w:spacing w:line="360" w:lineRule="auto"/>
              <w:jc w:val="center"/>
              <w:rPr>
                <w:rFonts w:ascii="宋体" w:hAnsi="宋体" w:cs="宋体"/>
                <w:sz w:val="24"/>
              </w:rPr>
            </w:pPr>
            <w:r>
              <w:rPr>
                <w:rFonts w:hint="eastAsia" w:ascii="宋体" w:hAnsi="宋体" w:cs="宋体"/>
                <w:sz w:val="24"/>
              </w:rPr>
              <w:t>1-7</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根据磋商响应供应商提供的方案，温控精度满足±1℃的基础上，精度每提升0</w:t>
            </w:r>
            <w:r>
              <w:rPr>
                <w:rFonts w:ascii="宋体" w:hAnsi="宋体"/>
                <w:kern w:val="0"/>
                <w:sz w:val="24"/>
              </w:rPr>
              <w:t>.1</w:t>
            </w:r>
            <w:r>
              <w:rPr>
                <w:rFonts w:hint="eastAsia" w:ascii="宋体" w:hAnsi="宋体"/>
                <w:kern w:val="0"/>
                <w:sz w:val="24"/>
              </w:rPr>
              <w:t>℃加0</w:t>
            </w:r>
            <w:r>
              <w:rPr>
                <w:rFonts w:ascii="宋体" w:hAnsi="宋体"/>
                <w:kern w:val="0"/>
                <w:sz w:val="24"/>
              </w:rPr>
              <w:t>.5</w:t>
            </w:r>
            <w:r>
              <w:rPr>
                <w:rFonts w:hint="eastAsia" w:ascii="宋体" w:hAnsi="宋体"/>
                <w:kern w:val="0"/>
                <w:sz w:val="24"/>
              </w:rPr>
              <w:t>分，最高</w:t>
            </w:r>
            <w:r>
              <w:rPr>
                <w:rFonts w:ascii="宋体" w:hAnsi="宋体"/>
                <w:kern w:val="0"/>
                <w:sz w:val="24"/>
              </w:rPr>
              <w:t>2.5</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sz w:val="24"/>
              </w:rPr>
            </w:pPr>
            <w:r>
              <w:rPr>
                <w:rFonts w:ascii="宋体" w:hAnsi="宋体" w:cs="宋体"/>
                <w:kern w:val="0"/>
                <w:sz w:val="24"/>
              </w:rPr>
              <w:t>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3" w:type="dxa"/>
            <w:vAlign w:val="center"/>
          </w:tcPr>
          <w:p>
            <w:pPr>
              <w:widowControl/>
              <w:spacing w:line="360" w:lineRule="auto"/>
              <w:jc w:val="center"/>
              <w:rPr>
                <w:rFonts w:ascii="宋体" w:hAnsi="宋体" w:cs="宋体"/>
                <w:bCs/>
                <w:kern w:val="10"/>
                <w:sz w:val="28"/>
              </w:rPr>
            </w:pPr>
            <w:r>
              <w:rPr>
                <w:rFonts w:hint="eastAsia" w:ascii="宋体" w:hAnsi="宋体" w:cs="宋体"/>
                <w:sz w:val="24"/>
              </w:rPr>
              <w:t>1-8</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根据磋商响应供应商提供的方案，流量计进度满足±1</w:t>
            </w:r>
            <w:r>
              <w:rPr>
                <w:rFonts w:ascii="宋体" w:hAnsi="宋体"/>
                <w:kern w:val="0"/>
                <w:sz w:val="24"/>
              </w:rPr>
              <w:t>%FS</w:t>
            </w:r>
            <w:r>
              <w:rPr>
                <w:rFonts w:hint="eastAsia" w:ascii="宋体" w:hAnsi="宋体"/>
                <w:kern w:val="0"/>
                <w:sz w:val="24"/>
              </w:rPr>
              <w:t>的基础上，精度每提升0</w:t>
            </w:r>
            <w:r>
              <w:rPr>
                <w:rFonts w:ascii="宋体" w:hAnsi="宋体"/>
                <w:kern w:val="0"/>
                <w:sz w:val="24"/>
              </w:rPr>
              <w:t>.1%FS</w:t>
            </w:r>
            <w:r>
              <w:rPr>
                <w:rFonts w:hint="eastAsia" w:ascii="宋体" w:hAnsi="宋体"/>
                <w:kern w:val="0"/>
                <w:sz w:val="24"/>
              </w:rPr>
              <w:t>，加0</w:t>
            </w:r>
            <w:r>
              <w:rPr>
                <w:rFonts w:ascii="宋体" w:hAnsi="宋体"/>
                <w:kern w:val="0"/>
                <w:sz w:val="24"/>
              </w:rPr>
              <w:t>.1</w:t>
            </w:r>
            <w:r>
              <w:rPr>
                <w:rFonts w:hint="eastAsia" w:ascii="宋体" w:hAnsi="宋体"/>
                <w:kern w:val="0"/>
                <w:sz w:val="24"/>
              </w:rPr>
              <w:t>分，最高</w:t>
            </w:r>
            <w:r>
              <w:rPr>
                <w:rFonts w:ascii="宋体" w:hAnsi="宋体"/>
                <w:kern w:val="0"/>
                <w:sz w:val="24"/>
              </w:rPr>
              <w:t>0.5</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kern w:val="0"/>
                <w:sz w:val="24"/>
              </w:rPr>
            </w:pPr>
            <w:r>
              <w:rPr>
                <w:rFonts w:ascii="宋体" w:hAnsi="宋体" w:cs="宋体"/>
                <w:sz w:val="24"/>
              </w:rPr>
              <w:t>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bCs/>
                <w:kern w:val="10"/>
                <w:sz w:val="28"/>
              </w:rPr>
            </w:pPr>
            <w:r>
              <w:rPr>
                <w:rFonts w:hint="eastAsia" w:ascii="宋体" w:hAnsi="宋体" w:cs="宋体"/>
                <w:sz w:val="24"/>
              </w:rPr>
              <w:t>1-9</w:t>
            </w:r>
          </w:p>
        </w:tc>
        <w:tc>
          <w:tcPr>
            <w:tcW w:w="8692" w:type="dxa"/>
          </w:tcPr>
          <w:p>
            <w:pPr>
              <w:spacing w:line="360" w:lineRule="auto"/>
              <w:rPr>
                <w:rFonts w:ascii="宋体" w:hAnsi="宋体" w:cs="宋体"/>
              </w:rPr>
            </w:pPr>
            <w:r>
              <w:rPr>
                <w:rFonts w:hint="eastAsia" w:ascii="宋体" w:hAnsi="宋体"/>
                <w:kern w:val="0"/>
                <w:sz w:val="24"/>
              </w:rPr>
              <w:t>根据磋商响应供应商提供的方案，预热器最大温度满足≥2</w:t>
            </w:r>
            <w:r>
              <w:rPr>
                <w:rFonts w:ascii="宋体" w:hAnsi="宋体"/>
                <w:kern w:val="0"/>
                <w:sz w:val="24"/>
              </w:rPr>
              <w:t>50</w:t>
            </w:r>
            <w:r>
              <w:rPr>
                <w:rFonts w:hint="eastAsia" w:ascii="宋体" w:hAnsi="宋体"/>
                <w:kern w:val="0"/>
                <w:sz w:val="24"/>
              </w:rPr>
              <w:t>℃的基础上，每提升1</w:t>
            </w:r>
            <w:r>
              <w:rPr>
                <w:rFonts w:ascii="宋体" w:hAnsi="宋体"/>
                <w:kern w:val="0"/>
                <w:sz w:val="24"/>
              </w:rPr>
              <w:t>0</w:t>
            </w:r>
            <w:r>
              <w:rPr>
                <w:rFonts w:hint="eastAsia" w:ascii="宋体" w:hAnsi="宋体"/>
                <w:kern w:val="0"/>
                <w:sz w:val="24"/>
              </w:rPr>
              <w:t>℃加</w:t>
            </w:r>
            <w:r>
              <w:rPr>
                <w:rFonts w:ascii="宋体" w:hAnsi="宋体"/>
                <w:kern w:val="0"/>
                <w:sz w:val="24"/>
              </w:rPr>
              <w:t>0.5</w:t>
            </w:r>
            <w:r>
              <w:rPr>
                <w:rFonts w:hint="eastAsia" w:ascii="宋体" w:hAnsi="宋体"/>
                <w:kern w:val="0"/>
                <w:sz w:val="24"/>
              </w:rPr>
              <w:t>分，最高2</w:t>
            </w:r>
            <w:r>
              <w:rPr>
                <w:rFonts w:ascii="宋体" w:hAnsi="宋体"/>
                <w:kern w:val="0"/>
                <w:sz w:val="24"/>
              </w:rPr>
              <w:t>.5</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sz w:val="24"/>
              </w:rPr>
            </w:pPr>
            <w:r>
              <w:rPr>
                <w:rFonts w:ascii="宋体" w:hAnsi="宋体" w:cs="宋体"/>
                <w:kern w:val="0"/>
                <w:sz w:val="24"/>
              </w:rPr>
              <w:t>2.5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bCs/>
                <w:kern w:val="10"/>
                <w:sz w:val="28"/>
              </w:rPr>
            </w:pPr>
            <w:r>
              <w:rPr>
                <w:rFonts w:hint="eastAsia" w:ascii="宋体" w:hAnsi="宋体" w:cs="宋体"/>
                <w:sz w:val="24"/>
              </w:rPr>
              <w:t>1-10</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根据磋商响应供应商提供的方案，控制系统需要具有以下特征：使用流畅、操作简单。此项根据专家经验和意见打分，满分</w:t>
            </w:r>
            <w:r>
              <w:rPr>
                <w:rFonts w:ascii="宋体" w:hAnsi="宋体"/>
                <w:kern w:val="0"/>
                <w:sz w:val="24"/>
              </w:rPr>
              <w:t>3</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kern w:val="0"/>
                <w:sz w:val="24"/>
              </w:rPr>
            </w:pPr>
            <w:r>
              <w:rPr>
                <w:rFonts w:ascii="宋体" w:hAnsi="宋体" w:cs="宋体"/>
                <w:kern w:val="0"/>
                <w:sz w:val="24"/>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sz w:val="24"/>
              </w:rPr>
            </w:pPr>
            <w:r>
              <w:rPr>
                <w:rFonts w:hint="eastAsia" w:ascii="宋体" w:hAnsi="宋体" w:cs="宋体"/>
                <w:sz w:val="24"/>
              </w:rPr>
              <w:t>1-11</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根据磋商响应供应商提供的方案，组态软件需要具有以下特征：使用流畅、操作简单、一体化设置。此项根据专家经验和意见打分，满分</w:t>
            </w:r>
            <w:r>
              <w:rPr>
                <w:rFonts w:ascii="宋体" w:hAnsi="宋体"/>
                <w:kern w:val="0"/>
                <w:sz w:val="24"/>
              </w:rPr>
              <w:t>3</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kern w:val="0"/>
                <w:sz w:val="24"/>
              </w:rPr>
            </w:pPr>
            <w:r>
              <w:rPr>
                <w:rFonts w:ascii="宋体" w:hAnsi="宋体" w:cs="宋体"/>
                <w:kern w:val="0"/>
                <w:sz w:val="24"/>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sz w:val="24"/>
              </w:rPr>
            </w:pPr>
            <w:r>
              <w:rPr>
                <w:rFonts w:hint="eastAsia" w:ascii="宋体" w:hAnsi="宋体" w:cs="宋体"/>
                <w:sz w:val="24"/>
              </w:rPr>
              <w:t>1-12</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根据磋商响应供应商提供的方案，需要具备完善的安全系统设施，每增加一项安全设施加0</w:t>
            </w:r>
            <w:r>
              <w:rPr>
                <w:rFonts w:ascii="宋体" w:hAnsi="宋体"/>
                <w:kern w:val="0"/>
                <w:sz w:val="24"/>
              </w:rPr>
              <w:t>.5</w:t>
            </w:r>
            <w:r>
              <w:rPr>
                <w:rFonts w:hint="eastAsia" w:ascii="宋体" w:hAnsi="宋体"/>
                <w:kern w:val="0"/>
                <w:sz w:val="24"/>
              </w:rPr>
              <w:t>分，最高2分；另外，支持一键紧急停工再加1分。</w:t>
            </w:r>
          </w:p>
        </w:tc>
        <w:tc>
          <w:tcPr>
            <w:tcW w:w="741" w:type="dxa"/>
            <w:vAlign w:val="center"/>
          </w:tcPr>
          <w:p>
            <w:pPr>
              <w:widowControl/>
              <w:spacing w:line="360" w:lineRule="auto"/>
              <w:jc w:val="center"/>
              <w:rPr>
                <w:rFonts w:ascii="宋体" w:hAnsi="宋体" w:cs="宋体"/>
                <w:kern w:val="0"/>
                <w:sz w:val="24"/>
              </w:rPr>
            </w:pPr>
            <w:r>
              <w:rPr>
                <w:rFonts w:ascii="宋体" w:hAnsi="宋体" w:cs="宋体"/>
                <w:kern w:val="0"/>
                <w:sz w:val="24"/>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sz w:val="24"/>
              </w:rPr>
            </w:pPr>
            <w:r>
              <w:rPr>
                <w:rFonts w:hint="eastAsia" w:ascii="宋体" w:hAnsi="宋体" w:cs="宋体"/>
                <w:sz w:val="24"/>
              </w:rPr>
              <w:t>1-13</w:t>
            </w:r>
          </w:p>
        </w:tc>
        <w:tc>
          <w:tcPr>
            <w:tcW w:w="8692" w:type="dxa"/>
          </w:tcPr>
          <w:p>
            <w:pPr>
              <w:spacing w:line="360" w:lineRule="auto"/>
              <w:rPr>
                <w:rFonts w:ascii="宋体" w:hAnsi="宋体" w:cs="宋体"/>
                <w:sz w:val="24"/>
              </w:rPr>
            </w:pPr>
            <w:r>
              <w:rPr>
                <w:rFonts w:hint="eastAsia" w:ascii="宋体" w:hAnsi="宋体" w:cs="宋体"/>
                <w:sz w:val="24"/>
              </w:rPr>
              <w:t>根据</w:t>
            </w:r>
            <w:r>
              <w:rPr>
                <w:rFonts w:hint="eastAsia" w:ascii="宋体" w:hAnsi="宋体"/>
                <w:kern w:val="0"/>
                <w:sz w:val="24"/>
              </w:rPr>
              <w:t>磋商响应供应商提供的P</w:t>
            </w:r>
            <w:r>
              <w:rPr>
                <w:rFonts w:ascii="宋体" w:hAnsi="宋体"/>
                <w:kern w:val="0"/>
                <w:sz w:val="24"/>
              </w:rPr>
              <w:t>&amp;</w:t>
            </w:r>
            <w:r>
              <w:rPr>
                <w:rFonts w:hint="eastAsia" w:ascii="宋体" w:hAnsi="宋体"/>
                <w:kern w:val="0"/>
                <w:sz w:val="24"/>
              </w:rPr>
              <w:t>ID图纸，专家针对设计方案进行评估打分。总分</w:t>
            </w:r>
            <w:r>
              <w:rPr>
                <w:rFonts w:ascii="宋体" w:hAnsi="宋体"/>
                <w:kern w:val="0"/>
                <w:sz w:val="24"/>
              </w:rPr>
              <w:t>30</w:t>
            </w:r>
            <w:r>
              <w:rPr>
                <w:rFonts w:hint="eastAsia" w:ascii="宋体" w:hAnsi="宋体"/>
                <w:kern w:val="0"/>
                <w:sz w:val="24"/>
              </w:rPr>
              <w:t>分，优秀</w:t>
            </w:r>
            <w:r>
              <w:rPr>
                <w:rFonts w:ascii="宋体" w:hAnsi="宋体"/>
                <w:kern w:val="0"/>
                <w:sz w:val="24"/>
              </w:rPr>
              <w:t>26-30</w:t>
            </w:r>
            <w:r>
              <w:rPr>
                <w:rFonts w:hint="eastAsia" w:ascii="宋体" w:hAnsi="宋体"/>
                <w:kern w:val="0"/>
                <w:sz w:val="24"/>
              </w:rPr>
              <w:t>分；良好</w:t>
            </w:r>
            <w:r>
              <w:rPr>
                <w:rFonts w:ascii="宋体" w:hAnsi="宋体"/>
                <w:kern w:val="0"/>
                <w:sz w:val="24"/>
              </w:rPr>
              <w:t>21-25</w:t>
            </w:r>
            <w:r>
              <w:rPr>
                <w:rFonts w:hint="eastAsia" w:ascii="宋体" w:hAnsi="宋体"/>
                <w:kern w:val="0"/>
                <w:sz w:val="24"/>
              </w:rPr>
              <w:t>分；一般</w:t>
            </w:r>
            <w:r>
              <w:rPr>
                <w:rFonts w:ascii="宋体" w:hAnsi="宋体"/>
                <w:kern w:val="0"/>
                <w:sz w:val="24"/>
              </w:rPr>
              <w:t>16-20</w:t>
            </w:r>
            <w:r>
              <w:rPr>
                <w:rFonts w:hint="eastAsia" w:ascii="宋体" w:hAnsi="宋体"/>
                <w:kern w:val="0"/>
                <w:sz w:val="24"/>
              </w:rPr>
              <w:t>分；不合理设计0</w:t>
            </w:r>
            <w:r>
              <w:rPr>
                <w:rFonts w:ascii="宋体" w:hAnsi="宋体"/>
                <w:kern w:val="0"/>
                <w:sz w:val="24"/>
              </w:rPr>
              <w:t>-15</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kern w:val="0"/>
                <w:sz w:val="24"/>
              </w:rPr>
            </w:pPr>
            <w:r>
              <w:rPr>
                <w:rFonts w:ascii="宋体" w:hAnsi="宋体" w:cs="宋体"/>
                <w:kern w:val="0"/>
                <w:sz w:val="24"/>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sz w:val="24"/>
              </w:rPr>
            </w:pPr>
            <w:r>
              <w:rPr>
                <w:rFonts w:hint="eastAsia" w:ascii="宋体" w:hAnsi="宋体" w:cs="宋体"/>
                <w:sz w:val="24"/>
              </w:rPr>
              <w:t>1-14</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根据磋商响应供应商提供的配件配置清单，专家针对配件品质、行业认可度等进行评估打分，总分为5分。</w:t>
            </w:r>
          </w:p>
        </w:tc>
        <w:tc>
          <w:tcPr>
            <w:tcW w:w="74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sz w:val="24"/>
              </w:rPr>
            </w:pPr>
            <w:r>
              <w:rPr>
                <w:rFonts w:hint="eastAsia" w:ascii="宋体" w:hAnsi="宋体" w:cs="宋体"/>
                <w:sz w:val="24"/>
              </w:rPr>
              <w:t>1-15</w:t>
            </w:r>
          </w:p>
        </w:tc>
        <w:tc>
          <w:tcPr>
            <w:tcW w:w="8692" w:type="dxa"/>
          </w:tcPr>
          <w:p>
            <w:pPr>
              <w:spacing w:line="360" w:lineRule="auto"/>
              <w:rPr>
                <w:rFonts w:ascii="宋体" w:hAnsi="宋体" w:cs="宋体"/>
                <w:sz w:val="24"/>
              </w:rPr>
            </w:pPr>
            <w:r>
              <w:rPr>
                <w:rFonts w:hint="eastAsia" w:ascii="宋体" w:hAnsi="宋体"/>
                <w:kern w:val="0"/>
                <w:sz w:val="24"/>
              </w:rPr>
              <w:t>根据磋商响应供应商提供的方案，配备必要尾气吸收和处理装置，此项根据专家经验和意见打分，满分</w:t>
            </w:r>
            <w:r>
              <w:rPr>
                <w:rFonts w:ascii="宋体" w:hAnsi="宋体"/>
                <w:kern w:val="0"/>
                <w:sz w:val="24"/>
              </w:rPr>
              <w:t>2</w:t>
            </w:r>
            <w:r>
              <w:rPr>
                <w:rFonts w:hint="eastAsia" w:ascii="宋体" w:hAnsi="宋体"/>
                <w:kern w:val="0"/>
                <w:sz w:val="24"/>
              </w:rPr>
              <w:t>分。</w:t>
            </w:r>
          </w:p>
        </w:tc>
        <w:tc>
          <w:tcPr>
            <w:tcW w:w="74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16" w:type="dxa"/>
            <w:gridSpan w:val="3"/>
            <w:vAlign w:val="center"/>
          </w:tcPr>
          <w:p>
            <w:pPr>
              <w:widowControl/>
              <w:spacing w:line="360" w:lineRule="auto"/>
              <w:jc w:val="left"/>
              <w:rPr>
                <w:rFonts w:ascii="宋体" w:hAnsi="宋体" w:cs="宋体"/>
                <w:kern w:val="0"/>
                <w:sz w:val="24"/>
              </w:rPr>
            </w:pPr>
            <w:r>
              <w:rPr>
                <w:rFonts w:hint="eastAsia" w:ascii="宋体" w:hAnsi="宋体" w:cs="宋体"/>
                <w:b/>
                <w:bCs/>
                <w:sz w:val="24"/>
              </w:rPr>
              <w:t>备注：以上若要求提供证明文件、材料的，均应在提交的材料上加盖磋商响应供应商公章。</w:t>
            </w:r>
          </w:p>
        </w:tc>
      </w:tr>
    </w:tbl>
    <w:p>
      <w:pPr>
        <w:pStyle w:val="31"/>
        <w:widowControl w:val="0"/>
        <w:numPr>
          <w:ilvl w:val="0"/>
          <w:numId w:val="9"/>
        </w:numPr>
        <w:adjustRightInd w:val="0"/>
        <w:spacing w:before="0" w:beforeAutospacing="0" w:after="0" w:afterAutospacing="0" w:line="400" w:lineRule="exact"/>
        <w:jc w:val="both"/>
        <w:outlineLvl w:val="2"/>
        <w:rPr>
          <w:rFonts w:hint="eastAsia" w:ascii="宋体" w:hAnsi="宋体" w:eastAsia="宋体" w:cs="微软雅黑"/>
          <w:b/>
          <w:bCs/>
          <w:sz w:val="24"/>
          <w:szCs w:val="24"/>
        </w:rPr>
      </w:pPr>
      <w:r>
        <w:rPr>
          <w:rFonts w:hint="eastAsia" w:ascii="宋体" w:hAnsi="宋体" w:eastAsia="宋体" w:cs="微软雅黑"/>
          <w:b/>
          <w:bCs/>
          <w:sz w:val="24"/>
          <w:szCs w:val="24"/>
        </w:rPr>
        <w:t>商务分F2（满分20分）</w:t>
      </w:r>
    </w:p>
    <w:tbl>
      <w:tblPr>
        <w:tblStyle w:val="19"/>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73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spacing w:line="360" w:lineRule="auto"/>
              <w:jc w:val="center"/>
              <w:rPr>
                <w:rFonts w:ascii="宋体" w:hAnsi="宋体" w:cs="宋体"/>
                <w:b/>
                <w:kern w:val="10"/>
                <w:sz w:val="24"/>
              </w:rPr>
            </w:pPr>
            <w:r>
              <w:rPr>
                <w:rFonts w:hint="eastAsia" w:ascii="宋体" w:hAnsi="宋体" w:cs="宋体"/>
                <w:b/>
                <w:kern w:val="10"/>
                <w:sz w:val="24"/>
              </w:rPr>
              <w:t>序号</w:t>
            </w:r>
          </w:p>
        </w:tc>
        <w:tc>
          <w:tcPr>
            <w:tcW w:w="8730" w:type="dxa"/>
            <w:vAlign w:val="center"/>
          </w:tcPr>
          <w:p>
            <w:pPr>
              <w:spacing w:line="360" w:lineRule="auto"/>
              <w:jc w:val="center"/>
              <w:rPr>
                <w:rFonts w:ascii="宋体" w:hAnsi="宋体" w:cs="宋体"/>
                <w:b/>
                <w:sz w:val="24"/>
              </w:rPr>
            </w:pPr>
            <w:r>
              <w:rPr>
                <w:rFonts w:hint="eastAsia" w:ascii="宋体" w:hAnsi="宋体" w:cs="宋体"/>
                <w:b/>
                <w:sz w:val="24"/>
              </w:rPr>
              <w:t>评分界定</w:t>
            </w:r>
          </w:p>
        </w:tc>
        <w:tc>
          <w:tcPr>
            <w:tcW w:w="699" w:type="dxa"/>
            <w:vAlign w:val="center"/>
          </w:tcPr>
          <w:p>
            <w:pPr>
              <w:spacing w:line="360" w:lineRule="auto"/>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bCs/>
                <w:sz w:val="24"/>
              </w:rPr>
            </w:pPr>
            <w:r>
              <w:rPr>
                <w:rFonts w:hint="eastAsia" w:ascii="宋体" w:hAnsi="宋体"/>
                <w:kern w:val="0"/>
                <w:sz w:val="24"/>
              </w:rPr>
              <w:t>2-1</w:t>
            </w:r>
          </w:p>
        </w:tc>
        <w:tc>
          <w:tcPr>
            <w:tcW w:w="8730" w:type="dxa"/>
          </w:tcPr>
          <w:p>
            <w:pPr>
              <w:pStyle w:val="33"/>
              <w:spacing w:line="360" w:lineRule="auto"/>
              <w:ind w:firstLine="0" w:firstLineChars="0"/>
              <w:rPr>
                <w:rFonts w:ascii="宋体" w:hAnsi="宋体" w:cs="宋体"/>
                <w:sz w:val="24"/>
              </w:rPr>
            </w:pPr>
            <w:r>
              <w:rPr>
                <w:rFonts w:hint="eastAsia" w:ascii="宋体" w:hAnsi="宋体" w:cs="宋体"/>
                <w:bCs/>
                <w:kern w:val="0"/>
                <w:sz w:val="24"/>
                <w:lang w:bidi="ar"/>
              </w:rPr>
              <w:t>磋商响应供应商具有有效的</w:t>
            </w:r>
            <w:r>
              <w:rPr>
                <w:rFonts w:hint="eastAsia" w:ascii="宋体" w:hAnsi="宋体" w:cs="宋体"/>
                <w:kern w:val="0"/>
                <w:sz w:val="24"/>
                <w:lang w:bidi="ar"/>
              </w:rPr>
              <w:t>ISO9001</w:t>
            </w:r>
            <w:r>
              <w:rPr>
                <w:rFonts w:hint="eastAsia" w:ascii="宋体" w:hAnsi="宋体" w:cs="宋体"/>
                <w:bCs/>
                <w:kern w:val="0"/>
                <w:sz w:val="24"/>
                <w:lang w:bidi="ar"/>
              </w:rPr>
              <w:t>质量管理体系认证证书的得</w:t>
            </w:r>
            <w:r>
              <w:rPr>
                <w:rFonts w:ascii="宋体" w:hAnsi="宋体" w:cs="宋体"/>
                <w:bCs/>
                <w:kern w:val="0"/>
                <w:sz w:val="24"/>
                <w:lang w:bidi="ar"/>
              </w:rPr>
              <w:t>0.5</w:t>
            </w:r>
            <w:r>
              <w:rPr>
                <w:rFonts w:hint="eastAsia" w:ascii="宋体" w:hAnsi="宋体" w:cs="宋体"/>
                <w:bCs/>
                <w:kern w:val="0"/>
                <w:sz w:val="24"/>
                <w:lang w:bidi="ar"/>
              </w:rPr>
              <w:t>分，需提供有效认证证书扫描件，否则不得分。</w:t>
            </w:r>
          </w:p>
        </w:tc>
        <w:tc>
          <w:tcPr>
            <w:tcW w:w="699" w:type="dxa"/>
            <w:vAlign w:val="center"/>
          </w:tcPr>
          <w:p>
            <w:pPr>
              <w:widowControl/>
              <w:spacing w:line="360" w:lineRule="auto"/>
              <w:jc w:val="center"/>
              <w:rPr>
                <w:rFonts w:ascii="宋体" w:hAnsi="宋体" w:cs="宋体"/>
                <w:sz w:val="24"/>
              </w:rPr>
            </w:pPr>
            <w:r>
              <w:rPr>
                <w:rFonts w:ascii="宋体" w:hAnsi="宋体"/>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2-2</w:t>
            </w:r>
          </w:p>
        </w:tc>
        <w:tc>
          <w:tcPr>
            <w:tcW w:w="8730" w:type="dxa"/>
          </w:tcPr>
          <w:p>
            <w:pPr>
              <w:pStyle w:val="33"/>
              <w:spacing w:line="360" w:lineRule="auto"/>
              <w:ind w:firstLine="0" w:firstLineChars="0"/>
              <w:rPr>
                <w:rFonts w:ascii="宋体" w:hAnsi="宋体" w:cs="宋体"/>
                <w:kern w:val="0"/>
                <w:sz w:val="24"/>
              </w:rPr>
            </w:pPr>
            <w:r>
              <w:rPr>
                <w:rFonts w:hint="eastAsia" w:ascii="宋体" w:hAnsi="宋体" w:cs="宋体"/>
                <w:bCs/>
                <w:kern w:val="0"/>
                <w:sz w:val="24"/>
                <w:lang w:bidi="ar"/>
              </w:rPr>
              <w:t>磋商响应供应商具有有效的</w:t>
            </w:r>
            <w:r>
              <w:rPr>
                <w:rFonts w:hint="eastAsia" w:ascii="宋体" w:hAnsi="宋体" w:cs="宋体"/>
                <w:kern w:val="0"/>
                <w:sz w:val="24"/>
                <w:lang w:bidi="ar"/>
              </w:rPr>
              <w:t>ISO14001</w:t>
            </w:r>
            <w:r>
              <w:rPr>
                <w:rFonts w:hint="eastAsia" w:ascii="宋体" w:hAnsi="宋体" w:cs="宋体"/>
                <w:bCs/>
                <w:kern w:val="0"/>
                <w:sz w:val="24"/>
                <w:lang w:bidi="ar"/>
              </w:rPr>
              <w:t>环境管理体系认证证书的得</w:t>
            </w:r>
            <w:r>
              <w:rPr>
                <w:rFonts w:ascii="宋体" w:hAnsi="宋体" w:cs="宋体"/>
                <w:bCs/>
                <w:kern w:val="0"/>
                <w:sz w:val="24"/>
                <w:lang w:bidi="ar"/>
              </w:rPr>
              <w:t>0.5</w:t>
            </w:r>
            <w:r>
              <w:rPr>
                <w:rFonts w:hint="eastAsia" w:ascii="宋体" w:hAnsi="宋体" w:cs="宋体"/>
                <w:bCs/>
                <w:kern w:val="0"/>
                <w:sz w:val="24"/>
                <w:lang w:bidi="ar"/>
              </w:rPr>
              <w:t>分，需提供有效认证证书扫描件，否则不得分。</w:t>
            </w:r>
          </w:p>
        </w:tc>
        <w:tc>
          <w:tcPr>
            <w:tcW w:w="699" w:type="dxa"/>
            <w:vAlign w:val="center"/>
          </w:tcPr>
          <w:p>
            <w:pPr>
              <w:widowControl/>
              <w:spacing w:line="360" w:lineRule="auto"/>
              <w:jc w:val="center"/>
              <w:rPr>
                <w:rFonts w:ascii="宋体" w:hAnsi="宋体" w:cs="宋体"/>
                <w:sz w:val="24"/>
              </w:rPr>
            </w:pPr>
            <w:r>
              <w:rPr>
                <w:rFonts w:ascii="宋体" w:hAnsi="宋体"/>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2-3</w:t>
            </w:r>
          </w:p>
        </w:tc>
        <w:tc>
          <w:tcPr>
            <w:tcW w:w="8730" w:type="dxa"/>
          </w:tcPr>
          <w:p>
            <w:pPr>
              <w:pStyle w:val="33"/>
              <w:spacing w:line="360" w:lineRule="auto"/>
              <w:ind w:firstLine="0" w:firstLineChars="0"/>
            </w:pPr>
            <w:r>
              <w:rPr>
                <w:rFonts w:hint="eastAsia" w:ascii="宋体" w:hAnsi="宋体" w:cs="宋体"/>
                <w:bCs/>
                <w:kern w:val="0"/>
                <w:sz w:val="24"/>
                <w:lang w:bidi="ar"/>
              </w:rPr>
              <w:t>磋商响应供应商具有有效的ISO 45001或0HSAS18001职业健康安全管理体系认证证书的得</w:t>
            </w:r>
            <w:r>
              <w:rPr>
                <w:rFonts w:ascii="宋体" w:hAnsi="宋体" w:cs="宋体"/>
                <w:bCs/>
                <w:kern w:val="0"/>
                <w:sz w:val="24"/>
                <w:lang w:bidi="ar"/>
              </w:rPr>
              <w:t>0.5</w:t>
            </w:r>
            <w:r>
              <w:rPr>
                <w:rFonts w:hint="eastAsia" w:ascii="宋体" w:hAnsi="宋体" w:cs="宋体"/>
                <w:bCs/>
                <w:kern w:val="0"/>
                <w:sz w:val="24"/>
                <w:lang w:bidi="ar"/>
              </w:rPr>
              <w:t>分，需提供有效认证证书扫描件，否则不得分。</w:t>
            </w:r>
          </w:p>
        </w:tc>
        <w:tc>
          <w:tcPr>
            <w:tcW w:w="699" w:type="dxa"/>
            <w:vAlign w:val="center"/>
          </w:tcPr>
          <w:p>
            <w:pPr>
              <w:widowControl/>
              <w:spacing w:line="360" w:lineRule="auto"/>
              <w:jc w:val="center"/>
              <w:rPr>
                <w:rFonts w:ascii="宋体" w:hAnsi="宋体" w:cs="宋体"/>
                <w:sz w:val="24"/>
              </w:rPr>
            </w:pPr>
            <w:r>
              <w:rPr>
                <w:rFonts w:ascii="宋体" w:hAnsi="宋体"/>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2-4</w:t>
            </w:r>
          </w:p>
        </w:tc>
        <w:tc>
          <w:tcPr>
            <w:tcW w:w="8730" w:type="dxa"/>
          </w:tcPr>
          <w:p>
            <w:pPr>
              <w:pStyle w:val="33"/>
              <w:spacing w:line="360" w:lineRule="auto"/>
              <w:ind w:firstLine="0" w:firstLineChars="0"/>
              <w:rPr>
                <w:rFonts w:ascii="宋体" w:hAnsi="宋体" w:cs="宋体"/>
                <w:sz w:val="24"/>
              </w:rPr>
            </w:pPr>
            <w:r>
              <w:rPr>
                <w:rFonts w:hint="eastAsia" w:ascii="宋体" w:hAnsi="宋体"/>
                <w:kern w:val="0"/>
                <w:sz w:val="24"/>
                <w:szCs w:val="24"/>
              </w:rPr>
              <w:t>磋商响应供应商具备有效的</w:t>
            </w:r>
            <w:r>
              <w:rPr>
                <w:rFonts w:hint="eastAsia" w:ascii="宋体" w:hAnsi="宋体"/>
                <w:sz w:val="24"/>
                <w:szCs w:val="24"/>
              </w:rPr>
              <w:t>知识产权管理体系认证</w:t>
            </w:r>
            <w:r>
              <w:rPr>
                <w:rFonts w:hint="eastAsia" w:ascii="宋体" w:hAnsi="宋体"/>
                <w:kern w:val="0"/>
                <w:sz w:val="24"/>
                <w:szCs w:val="24"/>
              </w:rPr>
              <w:t>的得</w:t>
            </w:r>
            <w:r>
              <w:rPr>
                <w:rFonts w:ascii="宋体" w:hAnsi="宋体"/>
                <w:kern w:val="0"/>
                <w:sz w:val="24"/>
                <w:szCs w:val="24"/>
              </w:rPr>
              <w:t>0.5</w:t>
            </w:r>
            <w:r>
              <w:rPr>
                <w:rFonts w:hint="eastAsia" w:ascii="宋体" w:hAnsi="宋体"/>
                <w:kern w:val="0"/>
                <w:sz w:val="24"/>
                <w:szCs w:val="24"/>
              </w:rPr>
              <w:t>分，</w:t>
            </w:r>
            <w:r>
              <w:rPr>
                <w:rFonts w:hint="eastAsia" w:ascii="宋体" w:hAnsi="宋体" w:cs="宋体"/>
                <w:bCs/>
                <w:kern w:val="0"/>
                <w:sz w:val="24"/>
                <w:lang w:bidi="ar"/>
              </w:rPr>
              <w:t>需提供有效认证证书扫描件，否则不得分。</w:t>
            </w:r>
          </w:p>
        </w:tc>
        <w:tc>
          <w:tcPr>
            <w:tcW w:w="699" w:type="dxa"/>
            <w:vAlign w:val="center"/>
          </w:tcPr>
          <w:p>
            <w:pPr>
              <w:widowControl/>
              <w:spacing w:line="360" w:lineRule="auto"/>
              <w:jc w:val="center"/>
              <w:rPr>
                <w:rFonts w:ascii="宋体" w:hAnsi="宋体" w:cs="宋体"/>
                <w:sz w:val="24"/>
              </w:rPr>
            </w:pPr>
            <w:r>
              <w:rPr>
                <w:rFonts w:ascii="宋体" w:hAnsi="宋体"/>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2-5</w:t>
            </w:r>
          </w:p>
        </w:tc>
        <w:tc>
          <w:tcPr>
            <w:tcW w:w="8730" w:type="dxa"/>
            <w:vAlign w:val="center"/>
          </w:tcPr>
          <w:p>
            <w:pPr>
              <w:widowControl/>
              <w:spacing w:line="360" w:lineRule="auto"/>
              <w:jc w:val="left"/>
              <w:rPr>
                <w:rFonts w:ascii="宋体" w:hAnsi="宋体" w:cs="宋体"/>
                <w:spacing w:val="-8"/>
                <w:sz w:val="24"/>
              </w:rPr>
            </w:pPr>
            <w:r>
              <w:rPr>
                <w:rFonts w:hint="eastAsia" w:ascii="宋体" w:hAnsi="宋体"/>
                <w:kern w:val="0"/>
                <w:sz w:val="24"/>
              </w:rPr>
              <w:t>根据磋商响应供应商承诺的质保期进行评分：在满足磋商文件基本要求（1年）的基础上，每增加1年加</w:t>
            </w:r>
            <w:r>
              <w:rPr>
                <w:rFonts w:ascii="宋体" w:hAnsi="宋体"/>
                <w:kern w:val="0"/>
                <w:sz w:val="24"/>
              </w:rPr>
              <w:t>0.5</w:t>
            </w:r>
            <w:r>
              <w:rPr>
                <w:rFonts w:hint="eastAsia" w:ascii="宋体" w:hAnsi="宋体"/>
                <w:kern w:val="0"/>
                <w:sz w:val="24"/>
              </w:rPr>
              <w:t>分，满分</w:t>
            </w:r>
            <w:r>
              <w:rPr>
                <w:rFonts w:ascii="宋体" w:hAnsi="宋体"/>
                <w:kern w:val="0"/>
                <w:sz w:val="24"/>
              </w:rPr>
              <w:t>2</w:t>
            </w:r>
            <w:r>
              <w:rPr>
                <w:rFonts w:hint="eastAsia" w:ascii="宋体" w:hAnsi="宋体"/>
                <w:kern w:val="0"/>
                <w:sz w:val="24"/>
              </w:rPr>
              <w:t>分。磋商响应供应商须提供相应的书面承诺，否则不得分。</w:t>
            </w:r>
          </w:p>
        </w:tc>
        <w:tc>
          <w:tcPr>
            <w:tcW w:w="699" w:type="dxa"/>
            <w:vAlign w:val="center"/>
          </w:tcPr>
          <w:p>
            <w:pPr>
              <w:widowControl/>
              <w:spacing w:line="360" w:lineRule="auto"/>
              <w:jc w:val="center"/>
              <w:rPr>
                <w:rFonts w:ascii="宋体" w:hAnsi="宋体" w:cs="宋体"/>
                <w:sz w:val="24"/>
              </w:rPr>
            </w:pPr>
            <w:r>
              <w:rPr>
                <w:rFonts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2-6</w:t>
            </w:r>
          </w:p>
        </w:tc>
        <w:tc>
          <w:tcPr>
            <w:tcW w:w="8730" w:type="dxa"/>
            <w:vAlign w:val="center"/>
          </w:tcPr>
          <w:p>
            <w:pPr>
              <w:widowControl/>
              <w:spacing w:line="360" w:lineRule="auto"/>
              <w:jc w:val="left"/>
              <w:rPr>
                <w:rFonts w:ascii="宋体" w:hAnsi="宋体" w:cs="宋体"/>
                <w:sz w:val="24"/>
              </w:rPr>
            </w:pPr>
            <w:r>
              <w:rPr>
                <w:rFonts w:hint="eastAsia" w:ascii="宋体" w:hAnsi="宋体"/>
                <w:kern w:val="0"/>
                <w:sz w:val="24"/>
              </w:rPr>
              <w:t>根据磋商响应供应商承诺的交付时间（1</w:t>
            </w:r>
            <w:r>
              <w:rPr>
                <w:rFonts w:ascii="宋体" w:hAnsi="宋体"/>
                <w:kern w:val="0"/>
                <w:sz w:val="24"/>
              </w:rPr>
              <w:t>2</w:t>
            </w:r>
            <w:r>
              <w:rPr>
                <w:rFonts w:hint="eastAsia" w:ascii="宋体" w:hAnsi="宋体"/>
                <w:kern w:val="0"/>
                <w:sz w:val="24"/>
              </w:rPr>
              <w:t>0天）进行评分：交付时间每提前5天加0.2分，满分2分。磋商响应供应商须提供相应的书面承诺，否则不得分。</w:t>
            </w:r>
          </w:p>
        </w:tc>
        <w:tc>
          <w:tcPr>
            <w:tcW w:w="699" w:type="dxa"/>
            <w:vAlign w:val="center"/>
          </w:tcPr>
          <w:p>
            <w:pPr>
              <w:widowControl/>
              <w:spacing w:line="360" w:lineRule="auto"/>
              <w:jc w:val="center"/>
              <w:rPr>
                <w:rFonts w:ascii="宋体" w:hAnsi="宋体" w:cs="宋体"/>
                <w:sz w:val="24"/>
              </w:rPr>
            </w:pPr>
            <w:r>
              <w:rPr>
                <w:rFonts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2-7</w:t>
            </w:r>
          </w:p>
        </w:tc>
        <w:tc>
          <w:tcPr>
            <w:tcW w:w="8730" w:type="dxa"/>
            <w:vAlign w:val="center"/>
          </w:tcPr>
          <w:p>
            <w:pPr>
              <w:widowControl/>
              <w:spacing w:line="360" w:lineRule="auto"/>
              <w:jc w:val="left"/>
              <w:rPr>
                <w:rFonts w:ascii="宋体" w:hAnsi="宋体" w:cs="宋体"/>
                <w:sz w:val="24"/>
              </w:rPr>
            </w:pPr>
            <w:r>
              <w:rPr>
                <w:rFonts w:hint="eastAsia" w:ascii="宋体" w:hAnsi="宋体"/>
                <w:kern w:val="0"/>
                <w:sz w:val="24"/>
              </w:rPr>
              <w:t>磋商响应供应商可提供厦门市本地化服务的得1分，否则不得分；磋商响应供应商可提供合作单位协议或者自身机构的营业执照证明，也可以提供在本地设立的项目部、办公室、办事处等机构证明，或者承诺成交后提供本地化服务。（承诺无法最终实施的，属于提供虚假材料谋取成交，应承担相应责任）。</w:t>
            </w:r>
          </w:p>
        </w:tc>
        <w:tc>
          <w:tcPr>
            <w:tcW w:w="699" w:type="dxa"/>
            <w:vAlign w:val="center"/>
          </w:tcPr>
          <w:p>
            <w:pPr>
              <w:widowControl/>
              <w:spacing w:line="360" w:lineRule="auto"/>
              <w:jc w:val="center"/>
              <w:rPr>
                <w:rFonts w:ascii="宋体" w:hAnsi="宋体" w:cs="宋体"/>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2-8</w:t>
            </w:r>
          </w:p>
        </w:tc>
        <w:tc>
          <w:tcPr>
            <w:tcW w:w="8730" w:type="dxa"/>
            <w:vAlign w:val="center"/>
          </w:tcPr>
          <w:p>
            <w:pPr>
              <w:widowControl/>
              <w:spacing w:line="360" w:lineRule="auto"/>
              <w:jc w:val="left"/>
              <w:rPr>
                <w:rFonts w:ascii="宋体" w:hAnsi="宋体" w:cs="宋体"/>
                <w:sz w:val="24"/>
              </w:rPr>
            </w:pPr>
            <w:r>
              <w:rPr>
                <w:rFonts w:hint="eastAsia" w:ascii="宋体" w:hAnsi="宋体"/>
                <w:kern w:val="0"/>
                <w:sz w:val="24"/>
              </w:rPr>
              <w:t>根据磋商响应供应商提供的售后服务方案进行评价，满足磋商文件售后服务要求，提供了基础的服务方案的得1分；有具体完整的售后服务计划、售后培训（原理、操作、工艺）、售后响应，且对质保外的服务提供完整的服务计划、培训及响应的得2分；未提供方案不得分。</w:t>
            </w:r>
          </w:p>
        </w:tc>
        <w:tc>
          <w:tcPr>
            <w:tcW w:w="699" w:type="dxa"/>
            <w:vAlign w:val="center"/>
          </w:tcPr>
          <w:p>
            <w:pPr>
              <w:widowControl/>
              <w:spacing w:line="360" w:lineRule="auto"/>
              <w:jc w:val="center"/>
              <w:rPr>
                <w:rFonts w:ascii="宋体" w:hAnsi="宋体" w:cs="宋体"/>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72" w:type="dxa"/>
            <w:vAlign w:val="center"/>
          </w:tcPr>
          <w:p>
            <w:pPr>
              <w:widowControl/>
              <w:spacing w:line="360" w:lineRule="auto"/>
              <w:jc w:val="center"/>
              <w:rPr>
                <w:rFonts w:ascii="宋体" w:hAnsi="宋体" w:cs="宋体"/>
                <w:sz w:val="24"/>
              </w:rPr>
            </w:pPr>
            <w:r>
              <w:rPr>
                <w:rFonts w:hint="eastAsia" w:ascii="宋体" w:hAnsi="宋体"/>
                <w:kern w:val="0"/>
                <w:sz w:val="24"/>
              </w:rPr>
              <w:t>2-9</w:t>
            </w:r>
          </w:p>
        </w:tc>
        <w:tc>
          <w:tcPr>
            <w:tcW w:w="8730" w:type="dxa"/>
            <w:vAlign w:val="center"/>
          </w:tcPr>
          <w:p>
            <w:pPr>
              <w:widowControl/>
              <w:spacing w:line="360" w:lineRule="auto"/>
              <w:jc w:val="left"/>
              <w:rPr>
                <w:rFonts w:ascii="宋体" w:hAnsi="宋体" w:cs="宋体"/>
                <w:sz w:val="24"/>
              </w:rPr>
            </w:pPr>
            <w:r>
              <w:rPr>
                <w:rFonts w:hint="eastAsia" w:ascii="宋体" w:hAnsi="宋体"/>
                <w:kern w:val="0"/>
                <w:sz w:val="24"/>
              </w:rPr>
              <w:t>根据磋商响应供应商提供近五年(以合同签订时间为准)脱硝评价装置业绩的有效证明文件进行评价：每提供1份有效业绩得</w:t>
            </w:r>
            <w:r>
              <w:rPr>
                <w:rFonts w:ascii="宋体" w:hAnsi="宋体"/>
                <w:kern w:val="0"/>
                <w:sz w:val="24"/>
              </w:rPr>
              <w:t>0.5</w:t>
            </w:r>
            <w:r>
              <w:rPr>
                <w:rFonts w:hint="eastAsia" w:ascii="宋体" w:hAnsi="宋体"/>
                <w:kern w:val="0"/>
                <w:sz w:val="24"/>
              </w:rPr>
              <w:t>分，满分</w:t>
            </w:r>
            <w:r>
              <w:rPr>
                <w:rFonts w:ascii="宋体" w:hAnsi="宋体"/>
                <w:kern w:val="0"/>
                <w:sz w:val="24"/>
              </w:rPr>
              <w:t>10</w:t>
            </w:r>
            <w:r>
              <w:rPr>
                <w:rFonts w:hint="eastAsia" w:ascii="宋体" w:hAnsi="宋体"/>
                <w:kern w:val="0"/>
                <w:sz w:val="24"/>
              </w:rPr>
              <w:t>分。 须提供该业绩项目以下四项完整资料的有效复印件：①中标（成交）公告【提供相关网站中标（成交）公告的下载网页并注明网址】；②中标（成交）通知书；③采购合同文本；④能够证明该业绩项目已经用户单位验收合格的相关证明文件或考核证明。①②③④为必须条件，如未按照磋商文件要求提供该项业绩完整资料的，磋商小组对该项业绩将不予采信。</w:t>
            </w:r>
          </w:p>
        </w:tc>
        <w:tc>
          <w:tcPr>
            <w:tcW w:w="699" w:type="dxa"/>
            <w:vAlign w:val="center"/>
          </w:tcPr>
          <w:p>
            <w:pPr>
              <w:widowControl/>
              <w:spacing w:line="360" w:lineRule="auto"/>
              <w:jc w:val="center"/>
              <w:rPr>
                <w:rFonts w:ascii="宋体" w:hAnsi="宋体" w:cs="宋体"/>
                <w:sz w:val="24"/>
              </w:rPr>
            </w:pPr>
            <w:r>
              <w:rPr>
                <w:rFonts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72" w:type="dxa"/>
            <w:vAlign w:val="center"/>
          </w:tcPr>
          <w:p>
            <w:pPr>
              <w:widowControl/>
              <w:spacing w:line="360" w:lineRule="auto"/>
              <w:jc w:val="center"/>
              <w:rPr>
                <w:rFonts w:ascii="宋体" w:hAnsi="宋体"/>
                <w:kern w:val="0"/>
                <w:sz w:val="24"/>
              </w:rPr>
            </w:pPr>
            <w:r>
              <w:rPr>
                <w:rFonts w:hint="eastAsia" w:ascii="宋体" w:hAnsi="宋体"/>
                <w:kern w:val="0"/>
                <w:sz w:val="24"/>
              </w:rPr>
              <w:t>2</w:t>
            </w:r>
            <w:r>
              <w:rPr>
                <w:rFonts w:ascii="宋体" w:hAnsi="宋体"/>
                <w:kern w:val="0"/>
                <w:sz w:val="24"/>
              </w:rPr>
              <w:t>-10</w:t>
            </w:r>
          </w:p>
        </w:tc>
        <w:tc>
          <w:tcPr>
            <w:tcW w:w="8730" w:type="dxa"/>
            <w:vAlign w:val="center"/>
          </w:tcPr>
          <w:p>
            <w:pPr>
              <w:widowControl/>
              <w:spacing w:line="360" w:lineRule="auto"/>
              <w:jc w:val="left"/>
              <w:rPr>
                <w:rFonts w:ascii="宋体" w:hAnsi="宋体"/>
                <w:kern w:val="0"/>
                <w:sz w:val="24"/>
              </w:rPr>
            </w:pPr>
            <w:r>
              <w:rPr>
                <w:rFonts w:hint="eastAsia" w:ascii="宋体" w:hAnsi="宋体"/>
                <w:kern w:val="0"/>
                <w:sz w:val="24"/>
              </w:rPr>
              <w:t>根据磋商响应供应商提供本脱硝催化剂评价装置设计所用到的相关专利进行评价：每提供1份授权专利证书得0</w:t>
            </w:r>
            <w:r>
              <w:rPr>
                <w:rFonts w:ascii="宋体" w:hAnsi="宋体"/>
                <w:kern w:val="0"/>
                <w:sz w:val="24"/>
              </w:rPr>
              <w:t>.5</w:t>
            </w:r>
            <w:r>
              <w:rPr>
                <w:rFonts w:hint="eastAsia" w:ascii="宋体" w:hAnsi="宋体"/>
                <w:kern w:val="0"/>
                <w:sz w:val="24"/>
              </w:rPr>
              <w:t>分，满分2分。</w:t>
            </w:r>
            <w:r>
              <w:rPr>
                <w:rFonts w:hint="eastAsia" w:ascii="宋体" w:hAnsi="宋体" w:cs="宋体"/>
                <w:bCs/>
                <w:kern w:val="0"/>
                <w:sz w:val="24"/>
                <w:lang w:bidi="ar"/>
              </w:rPr>
              <w:t>需提供有效认证证书扫描件，否则不得分。</w:t>
            </w:r>
          </w:p>
        </w:tc>
        <w:tc>
          <w:tcPr>
            <w:tcW w:w="699" w:type="dxa"/>
            <w:vAlign w:val="center"/>
          </w:tcPr>
          <w:p>
            <w:pPr>
              <w:widowControl/>
              <w:spacing w:line="360" w:lineRule="auto"/>
              <w:jc w:val="center"/>
              <w:rPr>
                <w:rFonts w:ascii="宋体" w:hAnsi="宋体"/>
                <w:kern w:val="0"/>
                <w:sz w:val="24"/>
              </w:rPr>
            </w:pPr>
            <w:r>
              <w:rPr>
                <w:rFonts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201" w:type="dxa"/>
            <w:gridSpan w:val="3"/>
            <w:vAlign w:val="center"/>
          </w:tcPr>
          <w:p>
            <w:pPr>
              <w:widowControl/>
              <w:spacing w:line="360" w:lineRule="auto"/>
              <w:jc w:val="left"/>
              <w:rPr>
                <w:rFonts w:ascii="宋体" w:hAnsi="宋体"/>
                <w:kern w:val="0"/>
                <w:sz w:val="24"/>
              </w:rPr>
            </w:pPr>
            <w:r>
              <w:rPr>
                <w:rFonts w:hint="eastAsia" w:ascii="宋体" w:hAnsi="宋体"/>
                <w:b/>
                <w:bCs/>
                <w:sz w:val="24"/>
              </w:rPr>
              <w:t>备注：以上若要求提供证明文件、材料的，均应在提交的材料上加盖磋商响应供应商公章。</w:t>
            </w:r>
          </w:p>
        </w:tc>
      </w:tr>
    </w:tbl>
    <w:p>
      <w:pPr>
        <w:pStyle w:val="31"/>
        <w:widowControl w:val="0"/>
        <w:numPr>
          <w:ilvl w:val="0"/>
          <w:numId w:val="9"/>
        </w:numPr>
        <w:adjustRightInd w:val="0"/>
        <w:spacing w:before="0" w:beforeAutospacing="0" w:after="0" w:afterAutospacing="0" w:line="400" w:lineRule="exact"/>
        <w:jc w:val="both"/>
        <w:outlineLvl w:val="2"/>
        <w:rPr>
          <w:rFonts w:hint="eastAsia" w:ascii="宋体" w:hAnsi="宋体" w:eastAsia="宋体" w:cs="微软雅黑"/>
          <w:b/>
          <w:bCs/>
          <w:sz w:val="24"/>
          <w:szCs w:val="24"/>
        </w:rPr>
      </w:pPr>
      <w:r>
        <w:rPr>
          <w:rFonts w:hint="eastAsia" w:ascii="宋体" w:hAnsi="宋体" w:eastAsia="宋体" w:cs="微软雅黑"/>
          <w:b/>
          <w:bCs/>
          <w:sz w:val="24"/>
          <w:szCs w:val="24"/>
        </w:rPr>
        <w:t>价格评分F3标准（满分20分）</w:t>
      </w:r>
    </w:p>
    <w:p>
      <w:pPr>
        <w:spacing w:line="360" w:lineRule="auto"/>
        <w:ind w:firstLine="240" w:firstLineChars="100"/>
        <w:outlineLvl w:val="2"/>
        <w:rPr>
          <w:rFonts w:hint="eastAsia" w:ascii="宋体" w:hAnsi="宋体" w:eastAsia="宋体" w:cs="宋体"/>
          <w:sz w:val="24"/>
        </w:rPr>
      </w:pPr>
      <w:r>
        <w:rPr>
          <w:rFonts w:hint="eastAsia" w:ascii="宋体" w:hAnsi="宋体" w:eastAsia="宋体" w:cs="宋体"/>
          <w:sz w:val="24"/>
        </w:rPr>
        <w:t>3.1评审价</w:t>
      </w:r>
    </w:p>
    <w:p>
      <w:pPr>
        <w:spacing w:line="360" w:lineRule="auto"/>
        <w:outlineLvl w:val="3"/>
        <w:rPr>
          <w:rFonts w:hint="eastAsia" w:ascii="宋体" w:hAnsi="宋体" w:eastAsia="宋体" w:cs="宋体"/>
          <w:sz w:val="24"/>
        </w:rPr>
      </w:pPr>
      <w:r>
        <w:rPr>
          <w:rFonts w:hint="eastAsia" w:ascii="宋体" w:hAnsi="宋体" w:eastAsia="宋体" w:cs="宋体"/>
          <w:sz w:val="24"/>
        </w:rPr>
        <w:t>(1)算术错误修正</w:t>
      </w:r>
    </w:p>
    <w:p>
      <w:pPr>
        <w:spacing w:line="360" w:lineRule="auto"/>
        <w:outlineLvl w:val="3"/>
        <w:rPr>
          <w:rFonts w:hint="eastAsia" w:ascii="宋体" w:hAnsi="宋体" w:eastAsia="宋体" w:cs="宋体"/>
          <w:sz w:val="24"/>
        </w:rPr>
      </w:pPr>
      <w:r>
        <w:rPr>
          <w:rFonts w:hint="eastAsia" w:ascii="宋体" w:hAnsi="宋体" w:eastAsia="宋体" w:cs="宋体"/>
          <w:sz w:val="24"/>
        </w:rPr>
        <w:t>(2)漏（缺）项修正：如磋商响应供应商的最后报价存在漏（缺）项的，则以修正后的价格作为计算评审价的依据，对漏（缺）项价格的修正办法详见本章23.3。</w:t>
      </w:r>
    </w:p>
    <w:p>
      <w:pPr>
        <w:spacing w:line="360" w:lineRule="auto"/>
        <w:outlineLvl w:val="3"/>
        <w:rPr>
          <w:rFonts w:hint="eastAsia" w:ascii="宋体" w:hAnsi="宋体" w:eastAsia="宋体" w:cs="宋体"/>
          <w:sz w:val="24"/>
        </w:rPr>
      </w:pPr>
      <w:r>
        <w:rPr>
          <w:rFonts w:hint="eastAsia" w:ascii="宋体" w:hAnsi="宋体" w:eastAsia="宋体" w:cs="宋体"/>
          <w:sz w:val="24"/>
        </w:rPr>
        <w:t>(3)评审价：评审价是指对供应商最后报价经算术错误修正、漏（缺）项修正，并按规定的折算标准确定的价格。</w:t>
      </w:r>
    </w:p>
    <w:p>
      <w:pPr>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评审价＝最后报价±算术错误修正数＋漏（缺）项修正数</w:t>
      </w:r>
    </w:p>
    <w:p>
      <w:pPr>
        <w:spacing w:line="360" w:lineRule="auto"/>
        <w:ind w:firstLine="240" w:firstLineChars="100"/>
        <w:outlineLvl w:val="2"/>
        <w:rPr>
          <w:rFonts w:hint="eastAsia" w:ascii="宋体" w:hAnsi="宋体" w:eastAsia="宋体" w:cs="宋体"/>
          <w:sz w:val="24"/>
        </w:rPr>
      </w:pPr>
      <w:r>
        <w:rPr>
          <w:rFonts w:hint="eastAsia" w:ascii="宋体" w:hAnsi="宋体" w:eastAsia="宋体" w:cs="宋体"/>
          <w:sz w:val="24"/>
        </w:rPr>
        <w:t>3.2磋商基准价及价格分</w:t>
      </w:r>
    </w:p>
    <w:p>
      <w:pPr>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磋商基准价计算方法采用低价优先法，即满足磋商文件要求且评审价最低的评审价作为磋商基准价，其价格分为满分。其他供应商磋商报价得分按下列公式计算：</w:t>
      </w:r>
    </w:p>
    <w:p>
      <w:pPr>
        <w:spacing w:line="360" w:lineRule="auto"/>
        <w:ind w:firstLine="480" w:firstLineChars="200"/>
        <w:rPr>
          <w:rFonts w:ascii="宋体" w:hAnsi="宋体" w:cs="宋体"/>
          <w:sz w:val="24"/>
        </w:rPr>
      </w:pPr>
      <w:r>
        <w:rPr>
          <w:rFonts w:hint="eastAsia" w:ascii="宋体" w:hAnsi="宋体" w:cs="宋体"/>
          <w:sz w:val="24"/>
        </w:rPr>
        <w:t>磋商报价得分F3=磋商基准价/供应商的评审价×</w:t>
      </w:r>
      <w:r>
        <w:rPr>
          <w:rFonts w:ascii="宋体" w:hAnsi="宋体" w:cs="宋体"/>
          <w:sz w:val="24"/>
        </w:rPr>
        <w:t>2</w:t>
      </w:r>
      <w:r>
        <w:rPr>
          <w:rFonts w:hint="eastAsia" w:ascii="宋体" w:hAnsi="宋体" w:cs="宋体"/>
          <w:sz w:val="24"/>
        </w:rPr>
        <w:t>0。</w:t>
      </w:r>
    </w:p>
    <w:p>
      <w:pPr>
        <w:spacing w:line="360" w:lineRule="auto"/>
        <w:ind w:firstLine="240" w:firstLineChars="100"/>
        <w:outlineLvl w:val="2"/>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各初审合格磋商响应供应商综合得分= F1＋F2＋F3。</w:t>
      </w:r>
    </w:p>
    <w:p>
      <w:pPr>
        <w:spacing w:line="360" w:lineRule="auto"/>
        <w:rPr>
          <w:rFonts w:ascii="宋体" w:hAnsi="宋体" w:cs="宋体"/>
          <w:sz w:val="24"/>
        </w:rPr>
      </w:pPr>
      <w:r>
        <w:rPr>
          <w:rFonts w:hint="eastAsia" w:ascii="宋体" w:hAnsi="宋体" w:cs="宋体"/>
          <w:sz w:val="24"/>
        </w:rPr>
        <w:t>说明：</w:t>
      </w:r>
    </w:p>
    <w:p>
      <w:pPr>
        <w:spacing w:line="360" w:lineRule="auto"/>
        <w:rPr>
          <w:rFonts w:ascii="宋体" w:hAnsi="宋体" w:cs="宋体"/>
          <w:sz w:val="24"/>
        </w:rPr>
      </w:pPr>
      <w:r>
        <w:rPr>
          <w:rFonts w:hint="eastAsia" w:ascii="宋体" w:hAnsi="宋体" w:cs="宋体"/>
          <w:sz w:val="24"/>
        </w:rPr>
        <w:t>(1)通过算术平均计算各供应商商务和技术的最终得分。计算供应商最终得分时，经四舍五入后保留两位小数。</w:t>
      </w:r>
    </w:p>
    <w:p>
      <w:pPr>
        <w:spacing w:line="360" w:lineRule="auto"/>
        <w:rPr>
          <w:rFonts w:ascii="宋体" w:hAnsi="宋体" w:cs="宋体"/>
          <w:sz w:val="24"/>
        </w:rPr>
      </w:pPr>
      <w:r>
        <w:rPr>
          <w:rFonts w:hint="eastAsia" w:ascii="宋体" w:hAnsi="宋体" w:cs="宋体"/>
          <w:sz w:val="24"/>
        </w:rPr>
        <w:t>(2)计算技术汇总得分、商务汇总得分及价格分时，经四舍五入后保留两位小数，计算供应商综合得分时，经四舍五入后保留两位小数。</w:t>
      </w:r>
    </w:p>
    <w:p>
      <w:pPr>
        <w:spacing w:line="360" w:lineRule="auto"/>
        <w:ind w:firstLine="240" w:firstLineChars="100"/>
        <w:outlineLvl w:val="2"/>
        <w:rPr>
          <w:rFonts w:hint="eastAsia" w:ascii="宋体" w:hAnsi="宋体" w:eastAsia="宋体" w:cs="宋体"/>
          <w:sz w:val="24"/>
          <w:lang w:val="en-US" w:eastAsia="zh-CN"/>
        </w:rPr>
      </w:pPr>
      <w:r>
        <w:rPr>
          <w:rFonts w:hint="eastAsia" w:ascii="宋体" w:hAnsi="宋体" w:eastAsia="宋体" w:cs="宋体"/>
          <w:sz w:val="24"/>
          <w:lang w:val="en-US" w:eastAsia="zh-CN"/>
        </w:rPr>
        <w:t>3.4排名及排名规则：磋商小组根据以下原则对初审合格的供应商进行排名：</w:t>
      </w:r>
    </w:p>
    <w:p>
      <w:pPr>
        <w:spacing w:line="360" w:lineRule="auto"/>
        <w:rPr>
          <w:rFonts w:ascii="宋体" w:hAnsi="宋体" w:cs="宋体"/>
          <w:sz w:val="24"/>
        </w:rPr>
      </w:pPr>
      <w:r>
        <w:rPr>
          <w:rFonts w:hint="eastAsia" w:ascii="宋体" w:hAnsi="宋体" w:cs="宋体"/>
          <w:sz w:val="24"/>
        </w:rPr>
        <w:t>（1）综合得分高者排名在前，即：综合得分最高者排名第一，综合得分次高者排名第二，以此类推。</w:t>
      </w:r>
    </w:p>
    <w:p>
      <w:pPr>
        <w:spacing w:line="360" w:lineRule="auto"/>
        <w:rPr>
          <w:rFonts w:hint="eastAsia" w:ascii="宋体" w:hAnsi="宋体" w:eastAsia="宋体" w:cs="宋体"/>
          <w:sz w:val="24"/>
        </w:rPr>
      </w:pPr>
      <w:r>
        <w:rPr>
          <w:rFonts w:hint="eastAsia" w:ascii="宋体" w:hAnsi="宋体" w:eastAsia="宋体" w:cs="宋体"/>
          <w:sz w:val="24"/>
        </w:rPr>
        <w:t>（2）综合得分相同时，评审价低者排名在前；</w:t>
      </w:r>
    </w:p>
    <w:p>
      <w:pPr>
        <w:spacing w:line="360" w:lineRule="auto"/>
        <w:rPr>
          <w:rFonts w:hint="eastAsia" w:ascii="宋体" w:hAnsi="宋体" w:eastAsia="宋体" w:cs="宋体"/>
          <w:sz w:val="24"/>
        </w:rPr>
      </w:pPr>
      <w:r>
        <w:rPr>
          <w:rFonts w:hint="eastAsia" w:ascii="宋体" w:hAnsi="宋体" w:eastAsia="宋体" w:cs="宋体"/>
          <w:sz w:val="24"/>
        </w:rPr>
        <w:t>（3）综合得分相同且评审价相同时，技术分得分高者（即F1得分高者）排名在前；</w:t>
      </w:r>
    </w:p>
    <w:p>
      <w:pPr>
        <w:spacing w:line="360" w:lineRule="auto"/>
        <w:rPr>
          <w:rFonts w:hint="eastAsia" w:ascii="宋体" w:hAnsi="宋体" w:eastAsia="宋体" w:cs="宋体"/>
          <w:sz w:val="24"/>
        </w:rPr>
      </w:pPr>
      <w:r>
        <w:rPr>
          <w:rFonts w:hint="eastAsia" w:ascii="宋体" w:hAnsi="宋体" w:eastAsia="宋体" w:cs="宋体"/>
          <w:sz w:val="24"/>
        </w:rPr>
        <w:t>（4）以上办法都不能确定排名时，磋商小组根据售后服务优劣情况确定排名。</w:t>
      </w:r>
    </w:p>
    <w:p>
      <w:pPr>
        <w:spacing w:line="360" w:lineRule="auto"/>
        <w:rPr>
          <w:rFonts w:ascii="宋体" w:hAnsi="宋体"/>
          <w:b/>
          <w:sz w:val="24"/>
        </w:rPr>
      </w:pPr>
      <w:r>
        <w:rPr>
          <w:rFonts w:hint="eastAsia" w:ascii="宋体" w:hAnsi="宋体"/>
          <w:b/>
          <w:sz w:val="24"/>
        </w:rPr>
        <w:t>备注：由于评分主要根据响应文件提供的资料进行，供应商须自行承担由于资料提供不全、错漏、或者无效而导致的不利评审，并对自身提供的响应文件、资料的真实可靠性负责。若因供应商提供的文件资料存在弄虚作假情况，谈判小组有权取消其成交资格。</w:t>
      </w:r>
    </w:p>
    <w:p>
      <w:pPr>
        <w:spacing w:line="360" w:lineRule="auto"/>
        <w:jc w:val="center"/>
        <w:outlineLvl w:val="0"/>
        <w:rPr>
          <w:b/>
          <w:bCs/>
          <w:sz w:val="36"/>
        </w:rPr>
      </w:pPr>
      <w:r>
        <w:br w:type="page"/>
      </w:r>
      <w:r>
        <w:rPr>
          <w:rFonts w:hint="eastAsia"/>
          <w:b/>
          <w:bCs/>
          <w:sz w:val="36"/>
        </w:rPr>
        <w:t>第</w:t>
      </w:r>
      <w:r>
        <w:rPr>
          <w:rFonts w:hint="eastAsia"/>
          <w:b/>
          <w:bCs/>
          <w:sz w:val="36"/>
          <w:lang w:val="en-US" w:eastAsia="zh-CN"/>
        </w:rPr>
        <w:t>四</w:t>
      </w:r>
      <w:r>
        <w:rPr>
          <w:rFonts w:hint="eastAsia"/>
          <w:b/>
          <w:bCs/>
          <w:sz w:val="36"/>
        </w:rPr>
        <w:t>章  谈判文件说明</w:t>
      </w:r>
    </w:p>
    <w:p>
      <w:pPr>
        <w:spacing w:line="360" w:lineRule="auto"/>
        <w:outlineLvl w:val="1"/>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outlineLvl w:val="1"/>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报价文件分正本壹份和副本叁份，在每一份报价文件要明确注明“正本”或“副本”字样，若正本和副本有差异，以正本为准。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outlineLvl w:val="1"/>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outlineLvl w:val="1"/>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jc w:val="center"/>
        <w:outlineLvl w:val="0"/>
        <w:rPr>
          <w:rFonts w:ascii="宋体"/>
          <w:sz w:val="24"/>
        </w:rPr>
      </w:pPr>
      <w:r>
        <w:br w:type="page"/>
      </w:r>
      <w:r>
        <w:rPr>
          <w:rFonts w:hint="eastAsia"/>
          <w:b/>
          <w:bCs/>
          <w:sz w:val="36"/>
        </w:rPr>
        <w:t>第</w:t>
      </w:r>
      <w:r>
        <w:rPr>
          <w:rFonts w:hint="eastAsia"/>
          <w:b/>
          <w:bCs/>
          <w:sz w:val="36"/>
          <w:lang w:val="en-US" w:eastAsia="zh-CN"/>
        </w:rPr>
        <w:t>五</w:t>
      </w:r>
      <w:r>
        <w:rPr>
          <w:rFonts w:hint="eastAsia"/>
          <w:b/>
          <w:bCs/>
          <w:sz w:val="36"/>
        </w:rPr>
        <w:t>章  谈判文件格式</w:t>
      </w:r>
    </w:p>
    <w:p>
      <w:pPr>
        <w:pStyle w:val="2"/>
        <w:bidi w:val="0"/>
        <w:rPr>
          <w:rFonts w:hint="eastAsia"/>
        </w:rPr>
      </w:pPr>
      <w:r>
        <w:rPr>
          <w:rFonts w:hint="eastAsia"/>
        </w:rPr>
        <w:t>格式1   报价书</w:t>
      </w:r>
    </w:p>
    <w:p>
      <w:pPr>
        <w:spacing w:line="360" w:lineRule="auto"/>
        <w:rPr>
          <w:rFonts w:hint="eastAsia" w:ascii="宋体" w:hAnsi="宋体" w:eastAsia="宋体" w:cs="Times New Roman"/>
        </w:rPr>
      </w:pPr>
      <w:r>
        <w:rPr>
          <w:rFonts w:hint="eastAsia" w:ascii="宋体" w:hAnsi="宋体" w:eastAsia="宋体" w:cs="Times New Roman"/>
        </w:rPr>
        <w:t>致嘉庚创新实验室资产采购管理室</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根据贵方为（采购编号）招标项目及服务的投标邀请，投标代表（全名、职务），经正式授权并代表投标人（投标人名称）按采购文件规定提交报价文件正本1份和副本3份。</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fldChar w:fldCharType="begin"/>
      </w:r>
      <w:r>
        <w:rPr>
          <w:rFonts w:hint="eastAsia" w:ascii="宋体" w:hAnsi="宋体" w:eastAsia="宋体" w:cs="Times New Roman"/>
        </w:rPr>
        <w:instrText xml:space="preserve"> = 1 \* GB2 </w:instrText>
      </w:r>
      <w:r>
        <w:rPr>
          <w:rFonts w:hint="eastAsia" w:ascii="宋体" w:hAnsi="宋体" w:eastAsia="宋体" w:cs="Times New Roman"/>
        </w:rPr>
        <w:fldChar w:fldCharType="separate"/>
      </w:r>
      <w:r>
        <w:rPr>
          <w:rFonts w:hint="eastAsia" w:ascii="宋体" w:hAnsi="宋体" w:eastAsia="宋体" w:cs="Times New Roman"/>
        </w:rPr>
        <w:t>⑴</w:t>
      </w:r>
      <w:r>
        <w:rPr>
          <w:rFonts w:hint="eastAsia" w:ascii="宋体" w:hAnsi="宋体" w:eastAsia="宋体" w:cs="Times New Roman"/>
        </w:rPr>
        <w:fldChar w:fldCharType="end"/>
      </w:r>
      <w:r>
        <w:rPr>
          <w:rFonts w:hint="eastAsia" w:ascii="宋体" w:hAnsi="宋体" w:eastAsia="宋体" w:cs="Times New Roman"/>
        </w:rPr>
        <w:t>报价书、报价一览表、系统配置清单及报价价格一览表。</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fldChar w:fldCharType="begin"/>
      </w:r>
      <w:r>
        <w:rPr>
          <w:rFonts w:hint="eastAsia" w:ascii="宋体" w:hAnsi="宋体" w:eastAsia="宋体" w:cs="Times New Roman"/>
        </w:rPr>
        <w:instrText xml:space="preserve"> = 2 \* GB2 </w:instrText>
      </w:r>
      <w:r>
        <w:rPr>
          <w:rFonts w:hint="eastAsia" w:ascii="宋体" w:hAnsi="宋体" w:eastAsia="宋体" w:cs="Times New Roman"/>
        </w:rPr>
        <w:fldChar w:fldCharType="separate"/>
      </w:r>
      <w:r>
        <w:rPr>
          <w:rFonts w:hint="eastAsia" w:ascii="宋体" w:hAnsi="宋体" w:eastAsia="宋体" w:cs="Times New Roman"/>
        </w:rPr>
        <w:t>⑵</w:t>
      </w:r>
      <w:r>
        <w:rPr>
          <w:rFonts w:hint="eastAsia" w:ascii="宋体" w:hAnsi="宋体" w:eastAsia="宋体" w:cs="Times New Roman"/>
        </w:rPr>
        <w:fldChar w:fldCharType="end"/>
      </w:r>
      <w:r>
        <w:rPr>
          <w:rFonts w:hint="eastAsia" w:ascii="宋体" w:hAnsi="宋体" w:eastAsia="宋体" w:cs="Times New Roman"/>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hint="eastAsia" w:ascii="宋体" w:hAnsi="宋体" w:eastAsia="宋体" w:cs="Times New Roman"/>
        </w:rPr>
      </w:pPr>
      <w:r>
        <w:rPr>
          <w:rFonts w:hint="eastAsia" w:ascii="宋体" w:hAnsi="宋体" w:eastAsia="宋体" w:cs="Times New Roman"/>
        </w:rPr>
        <w:t>1、投标人将按采购文件规定履行合同责任和义务。</w:t>
      </w:r>
    </w:p>
    <w:p>
      <w:pPr>
        <w:spacing w:line="360" w:lineRule="auto"/>
        <w:rPr>
          <w:rFonts w:hint="eastAsia" w:ascii="宋体" w:hAnsi="宋体" w:eastAsia="宋体" w:cs="Times New Roman"/>
        </w:rPr>
      </w:pPr>
      <w:r>
        <w:rPr>
          <w:rFonts w:hint="eastAsia" w:ascii="宋体" w:hAnsi="宋体" w:eastAsia="宋体" w:cs="Times New Roman"/>
        </w:rPr>
        <w:t>2、投标人已详细审查全部采购文件，包括修改文件（如有的话）以及全部参考资料和相关附件。我们完全理解并同意放弃对这方面有不明及误解的权利。</w:t>
      </w:r>
    </w:p>
    <w:p>
      <w:pPr>
        <w:spacing w:line="360" w:lineRule="auto"/>
        <w:rPr>
          <w:rFonts w:hint="eastAsia" w:ascii="宋体" w:hAnsi="宋体" w:eastAsia="宋体" w:cs="Times New Roman"/>
        </w:rPr>
      </w:pPr>
      <w:r>
        <w:rPr>
          <w:rFonts w:hint="eastAsia" w:ascii="宋体" w:hAnsi="宋体" w:eastAsia="宋体" w:cs="Times New Roman"/>
        </w:rPr>
        <w:t>3、投标自开标之日起有效期为90个日历日。</w:t>
      </w:r>
    </w:p>
    <w:p>
      <w:pPr>
        <w:spacing w:line="360" w:lineRule="auto"/>
        <w:rPr>
          <w:rFonts w:hint="eastAsia" w:ascii="宋体" w:hAnsi="宋体" w:eastAsia="宋体" w:cs="Times New Roman"/>
        </w:rPr>
      </w:pPr>
      <w:r>
        <w:rPr>
          <w:rFonts w:hint="eastAsia" w:ascii="宋体" w:hAnsi="宋体" w:eastAsia="宋体" w:cs="Times New Roman"/>
        </w:rPr>
        <w:t>4、投标人同意提供按照招标人可能要求的与投标有关的一切数据或资料，完全理解招标人不一定要接受最低价的投标或收到的任何投标。</w:t>
      </w:r>
    </w:p>
    <w:p>
      <w:pPr>
        <w:spacing w:line="360" w:lineRule="auto"/>
        <w:rPr>
          <w:rFonts w:hint="eastAsia" w:ascii="宋体" w:hAnsi="宋体" w:eastAsia="宋体" w:cs="Times New Roman"/>
        </w:rPr>
      </w:pPr>
      <w:r>
        <w:rPr>
          <w:rFonts w:hint="eastAsia" w:ascii="宋体" w:hAnsi="宋体" w:eastAsia="宋体" w:cs="Times New Roman"/>
        </w:rPr>
        <w:t>5、与采购有关的一切正式往来通讯，请寄：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 name="直接连接符 10"/>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直接连接符 10"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E4PHbXAAAACQEAAA8AAAAAAAAAAQAgAAAAIgAAAGRy&#10;cy9kb3ducmV2LnhtbFBLAQIUABQAAAAIAIdO4kBhWQmqzQEAAIgDAAAOAAAAAAAAAAEAIAAAACY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3" name="直接连接符 9"/>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直接连接符 9"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qbg21QAAAAkBAAAPAAAAAAAAAAEAIAAAACIAAABkcnMv&#10;ZG93bnJldi54bWxQSwECFAAUAAAACACHTuJAt+GxUs0BAACH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5" name="直接连接符 8"/>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直接连接符 8"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bywtNYAAAAJAQAADwAAAAAAAAABACAAAAAiAAAAZHJz&#10;L2Rvd25yZXYueG1sUEsBAhQAFAAAAAgAh07iQHyDHOXNAQAAhw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RFitYAAAAJAQAADwAAAAAAAAABACAAAAAiAAAAZHJz&#10;L2Rvd25yZXYueG1sUEsBAhQAFAAAAAgAh07iQHjuhNDNAQAAhwMAAA4AAAAAAAAAAQAgAAAAJQEA&#10;AGRycy9lMm9Eb2MueG1sUEsFBgAAAAAGAAYAWQEAAGQFA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9" name="直接连接符 6"/>
                <wp:cNvGraphicFramePr/>
                <a:graphic xmlns:a="http://schemas.openxmlformats.org/drawingml/2006/main">
                  <a:graphicData uri="http://schemas.microsoft.com/office/word/2010/wordprocessingShape">
                    <wps:wsp>
                      <wps:cNvCnPr>
                        <a:cxnSpLocks noChangeShapeType="1"/>
                      </wps:cNvCnPr>
                      <wps:spPr>
                        <a:xfrm flipV="1">
                          <a:off x="0" y="0"/>
                          <a:ext cx="3105785" cy="3810"/>
                        </a:xfrm>
                        <a:prstGeom prst="line">
                          <a:avLst/>
                        </a:prstGeom>
                        <a:ln w="9525">
                          <a:solidFill>
                            <a:srgbClr val="000000"/>
                          </a:solidFill>
                        </a:ln>
                      </wps:spPr>
                      <wps:bodyPr/>
                    </wps:wsp>
                  </a:graphicData>
                </a:graphic>
              </wp:anchor>
            </w:drawing>
          </mc:Choice>
          <mc:Fallback>
            <w:pict>
              <v:line id="直接连接符 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5kdodgAAAAJAQAADwAAAAAA&#10;AAABACAAAAAiAAAAZHJzL2Rvd25yZXYueG1sUEsBAhQAFAAAAAgAh07iQEyIe5DaAQAAlAMAAA4A&#10;AAAAAAAAAQAgAAAAJwEAAGRycy9lMm9Eb2MueG1sUEsFBgAAAAAGAAYAWQEAAHM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11" name="直接连接符 5"/>
                <wp:cNvGraphicFramePr/>
                <a:graphic xmlns:a="http://schemas.openxmlformats.org/drawingml/2006/main">
                  <a:graphicData uri="http://schemas.microsoft.com/office/word/2010/wordprocessingShape">
                    <wps:wsp>
                      <wps:cNvCnPr>
                        <a:cxnSpLocks noChangeShapeType="1"/>
                      </wps:cNvCnPr>
                      <wps:spPr>
                        <a:xfrm flipV="1">
                          <a:off x="0" y="0"/>
                          <a:ext cx="3105785" cy="3810"/>
                        </a:xfrm>
                        <a:prstGeom prst="line">
                          <a:avLst/>
                        </a:prstGeom>
                        <a:ln w="9525">
                          <a:solidFill>
                            <a:srgbClr val="000000"/>
                          </a:solidFill>
                        </a:ln>
                      </wps:spPr>
                      <wps:bodyPr/>
                    </wps:wsp>
                  </a:graphicData>
                </a:graphic>
              </wp:anchor>
            </w:drawing>
          </mc:Choice>
          <mc:Fallback>
            <w:pict>
              <v:line id="直接连接符 5"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oXd9cAAAAJAQAADwAAAAAA&#10;AAABACAAAAAiAAAAZHJzL2Rvd25yZXYueG1sUEsBAhQAFAAAAAgAh07iQA7cNqTbAQAAlQMAAA4A&#10;AAAAAAAAAQAgAAAAJgEAAGRycy9lMm9Eb2MueG1sUEsFBgAAAAAGAAYAWQEAAHMFA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13" name="直接连接符 4"/>
                <wp:cNvGraphicFramePr/>
                <a:graphic xmlns:a="http://schemas.openxmlformats.org/drawingml/2006/main">
                  <a:graphicData uri="http://schemas.microsoft.com/office/word/2010/wordprocessingShape">
                    <wps:wsp>
                      <wps:cNvCnPr>
                        <a:cxnSpLocks noChangeShapeType="1"/>
                      </wps:cNvCnPr>
                      <wps:spPr>
                        <a:xfrm>
                          <a:off x="0" y="0"/>
                          <a:ext cx="733425" cy="0"/>
                        </a:xfrm>
                        <a:prstGeom prst="line">
                          <a:avLst/>
                        </a:prstGeom>
                        <a:ln w="9525">
                          <a:solidFill>
                            <a:srgbClr val="000000"/>
                          </a:solidFill>
                        </a:ln>
                      </wps:spPr>
                      <wps:bodyPr/>
                    </wps:wsp>
                  </a:graphicData>
                </a:graphic>
              </wp:anchor>
            </w:drawing>
          </mc:Choice>
          <mc:Fallback>
            <w:pict>
              <v:line id="直接连接符 4"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h201XWAAAACQEAAA8AAAAAAAAAAQAgAAAAIgAAAGRy&#10;cy9kb3ducmV2LnhtbFBLAQIUABQAAAAIAIdO4kC+Yr1GzgEAAIc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15" name="直接连接符 3"/>
                <wp:cNvGraphicFramePr/>
                <a:graphic xmlns:a="http://schemas.openxmlformats.org/drawingml/2006/main">
                  <a:graphicData uri="http://schemas.microsoft.com/office/word/2010/wordprocessingShape">
                    <wps:wsp>
                      <wps:cNvCnPr>
                        <a:cxnSpLocks noChangeShapeType="1"/>
                      </wps:cNvCnPr>
                      <wps:spPr>
                        <a:xfrm>
                          <a:off x="0" y="0"/>
                          <a:ext cx="733425" cy="0"/>
                        </a:xfrm>
                        <a:prstGeom prst="line">
                          <a:avLst/>
                        </a:prstGeom>
                        <a:ln w="9525">
                          <a:solidFill>
                            <a:srgbClr val="000000"/>
                          </a:solidFill>
                        </a:ln>
                      </wps:spPr>
                      <wps:bodyPr/>
                    </wps:wsp>
                  </a:graphicData>
                </a:graphic>
              </wp:anchor>
            </w:drawing>
          </mc:Choice>
          <mc:Fallback>
            <w:pict>
              <v:line id="直接连接符 3"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9rtHtYAAAAJAQAADwAAAAAAAAABACAAAAAiAAAAZHJz&#10;L2Rvd25yZXYueG1sUEsBAhQAFAAAAAgAh07iQJHxDTXNAQAAhw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17" name="直接连接符 11"/>
                <wp:cNvGraphicFramePr/>
                <a:graphic xmlns:a="http://schemas.openxmlformats.org/drawingml/2006/main">
                  <a:graphicData uri="http://schemas.microsoft.com/office/word/2010/wordprocessingShape">
                    <wps:wsp>
                      <wps:cNvCnPr>
                        <a:cxnSpLocks noChangeShapeType="1"/>
                      </wps:cNvCnPr>
                      <wps:spPr>
                        <a:xfrm>
                          <a:off x="0" y="0"/>
                          <a:ext cx="733425" cy="0"/>
                        </a:xfrm>
                        <a:prstGeom prst="line">
                          <a:avLst/>
                        </a:prstGeom>
                        <a:ln w="9525">
                          <a:solidFill>
                            <a:srgbClr val="000000"/>
                          </a:solidFill>
                        </a:ln>
                      </wps:spPr>
                      <wps:bodyPr/>
                    </wps:wsp>
                  </a:graphicData>
                </a:graphic>
              </wp:anchor>
            </w:drawing>
          </mc:Choice>
          <mc:Fallback>
            <w:pict>
              <v:line id="直接连接符 11"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PN9HXAAAACQEAAA8AAAAAAAAAAQAgAAAAIgAA&#10;AGRycy9kb3ducmV2LnhtbFBLAQIUABQAAAAIAIdO4kD/K+Gs0AEAAIgDAAAOAAAAAAAAAAEAIAAA&#10;ACYBAABkcnMvZTJvRG9jLnhtbFBLBQYAAAAABgAGAFkBAABoBQAAA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rPr>
          <w:rFonts w:hint="eastAsia" w:ascii="宋体" w:hAnsi="Times New Roman" w:eastAsia="宋体" w:cs="Times New Roman"/>
          <w:b/>
          <w:kern w:val="44"/>
          <w:sz w:val="32"/>
          <w:szCs w:val="20"/>
          <w:lang w:val="en-US" w:eastAsia="zh-CN" w:bidi="ar-SA"/>
        </w:rPr>
      </w:pPr>
    </w:p>
    <w:p>
      <w:pPr>
        <w:spacing w:line="360" w:lineRule="auto"/>
        <w:rPr>
          <w:rFonts w:hint="eastAsia" w:ascii="宋体" w:hAnsi="Times New Roman" w:eastAsia="宋体" w:cs="Times New Roman"/>
          <w:b/>
          <w:kern w:val="44"/>
          <w:sz w:val="32"/>
          <w:szCs w:val="20"/>
          <w:lang w:val="en-US" w:eastAsia="zh-CN" w:bidi="ar-SA"/>
        </w:rPr>
      </w:pPr>
    </w:p>
    <w:p>
      <w:pPr>
        <w:pStyle w:val="2"/>
        <w:bidi w:val="0"/>
        <w:rPr>
          <w:rFonts w:hint="eastAsia" w:ascii="宋体" w:hAnsi="Times New Roman" w:eastAsia="宋体" w:cs="Times New Roman"/>
        </w:rPr>
      </w:pPr>
      <w:r>
        <w:rPr>
          <w:rFonts w:hint="eastAsia" w:ascii="宋体" w:hAnsi="Times New Roman" w:eastAsia="宋体" w:cs="Times New Roman"/>
          <w:lang w:val="en-US" w:eastAsia="zh-CN"/>
        </w:rPr>
        <w:t>格式2   报价一览表</w:t>
      </w:r>
    </w:p>
    <w:p>
      <w:pPr>
        <w:spacing w:line="360" w:lineRule="auto"/>
        <w:rPr>
          <w:rFonts w:ascii="宋体"/>
          <w:sz w:val="30"/>
        </w:rPr>
      </w:pPr>
      <w:r>
        <w:rPr>
          <w:rFonts w:hint="eastAsia" w:ascii="宋体" w:hAnsi="宋体"/>
          <w:sz w:val="30"/>
        </w:rPr>
        <w:t>投标人全称（加盖公章）</w:t>
      </w:r>
    </w:p>
    <w:p>
      <w:pPr>
        <w:tabs>
          <w:tab w:val="left" w:pos="3570"/>
        </w:tabs>
        <w:spacing w:line="360" w:lineRule="auto"/>
        <w:ind w:right="-21" w:rightChars="-10"/>
        <w:rPr>
          <w:rFonts w:ascii="宋体"/>
          <w:sz w:val="30"/>
        </w:rPr>
      </w:pPr>
      <w:r>
        <w:rPr>
          <w:rFonts w:hint="eastAsia" w:ascii="宋体" w:hAnsi="宋体"/>
          <w:sz w:val="30"/>
        </w:rPr>
        <w:t>采购编号：</w:t>
      </w:r>
    </w:p>
    <w:tbl>
      <w:tblPr>
        <w:tblStyle w:val="19"/>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rPr>
            </w:pPr>
            <w:r>
              <w:rPr>
                <w:rFonts w:hint="eastAsia" w:ascii="宋体" w:hAnsi="宋体"/>
              </w:rPr>
              <w:t>备注：以上报价包含增值税     （专用/普通）发票，税率为     。</w:t>
            </w:r>
          </w:p>
        </w:tc>
      </w:tr>
    </w:tbl>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2"/>
        <w:bidi w:val="0"/>
        <w:rPr>
          <w:rFonts w:hint="eastAsia"/>
        </w:rPr>
      </w:pPr>
      <w:r>
        <w:rPr>
          <w:rFonts w:hint="eastAsia"/>
        </w:rPr>
        <w:t xml:space="preserve">格式3  </w:t>
      </w:r>
      <w:r>
        <w:rPr>
          <w:rFonts w:hint="eastAsia"/>
          <w:lang w:val="en-US" w:eastAsia="zh-CN"/>
        </w:rPr>
        <w:t xml:space="preserve"> </w:t>
      </w:r>
      <w:r>
        <w:rPr>
          <w:rFonts w:hint="eastAsia"/>
        </w:rPr>
        <w:t>报价货物简要说明一览表</w:t>
      </w:r>
    </w:p>
    <w:p>
      <w:pPr>
        <w:tabs>
          <w:tab w:val="left" w:pos="3570"/>
        </w:tabs>
        <w:spacing w:line="360" w:lineRule="auto"/>
        <w:ind w:right="-21" w:rightChars="-10"/>
        <w:rPr>
          <w:rFonts w:ascii="宋体" w:hAnsi="宋体"/>
        </w:rPr>
      </w:pPr>
      <w:r>
        <w:rPr>
          <w:rFonts w:hint="eastAsia" w:ascii="宋体" w:hAnsi="宋体"/>
        </w:rPr>
        <w:t xml:space="preserve">报价人全称（加盖公章）：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r>
              <w:rPr>
                <w:rFonts w:hint="eastAsia" w:ascii="宋体" w:hAnsi="宋体"/>
              </w:rPr>
              <w:t>序号</w:t>
            </w:r>
          </w:p>
        </w:tc>
        <w:tc>
          <w:tcPr>
            <w:tcW w:w="1226" w:type="dxa"/>
          </w:tcPr>
          <w:p>
            <w:pPr>
              <w:tabs>
                <w:tab w:val="left" w:pos="3570"/>
              </w:tabs>
              <w:spacing w:line="360" w:lineRule="auto"/>
              <w:ind w:right="-21" w:rightChars="-10"/>
              <w:jc w:val="center"/>
              <w:rPr>
                <w:rFonts w:ascii="宋体" w:hAnsi="宋体"/>
              </w:rPr>
            </w:pPr>
            <w:r>
              <w:rPr>
                <w:rFonts w:hint="eastAsia" w:ascii="宋体" w:hAnsi="宋体"/>
              </w:rPr>
              <w:t>货物名称</w:t>
            </w:r>
          </w:p>
        </w:tc>
        <w:tc>
          <w:tcPr>
            <w:tcW w:w="2955" w:type="dxa"/>
          </w:tcPr>
          <w:p>
            <w:pPr>
              <w:tabs>
                <w:tab w:val="left" w:pos="3570"/>
              </w:tabs>
              <w:spacing w:line="360" w:lineRule="auto"/>
              <w:ind w:right="-21" w:rightChars="-10"/>
              <w:jc w:val="center"/>
              <w:rPr>
                <w:rFonts w:ascii="宋体" w:hAnsi="宋体"/>
              </w:rPr>
            </w:pPr>
            <w:r>
              <w:rPr>
                <w:rFonts w:hint="eastAsia" w:ascii="宋体" w:hAnsi="宋体"/>
              </w:rPr>
              <w:t>型号规格及配置</w:t>
            </w:r>
          </w:p>
        </w:tc>
        <w:tc>
          <w:tcPr>
            <w:tcW w:w="1399" w:type="dxa"/>
          </w:tcPr>
          <w:p>
            <w:pPr>
              <w:tabs>
                <w:tab w:val="left" w:pos="3570"/>
              </w:tabs>
              <w:spacing w:line="360" w:lineRule="auto"/>
              <w:ind w:right="-21" w:rightChars="-10"/>
              <w:jc w:val="center"/>
              <w:rPr>
                <w:rFonts w:ascii="宋体" w:hAnsi="宋体"/>
              </w:rPr>
            </w:pPr>
            <w:r>
              <w:rPr>
                <w:rFonts w:hint="eastAsia" w:ascii="宋体" w:hAnsi="宋体"/>
              </w:rPr>
              <w:t>性能说明</w:t>
            </w:r>
          </w:p>
        </w:tc>
        <w:tc>
          <w:tcPr>
            <w:tcW w:w="872" w:type="dxa"/>
          </w:tcPr>
          <w:p>
            <w:pPr>
              <w:tabs>
                <w:tab w:val="left" w:pos="3570"/>
              </w:tabs>
              <w:spacing w:line="360" w:lineRule="auto"/>
              <w:ind w:right="-21" w:rightChars="-10"/>
              <w:jc w:val="center"/>
              <w:rPr>
                <w:rFonts w:ascii="宋体" w:hAnsi="宋体"/>
              </w:rPr>
            </w:pPr>
            <w:r>
              <w:rPr>
                <w:rFonts w:hint="eastAsia" w:ascii="宋体" w:hAnsi="宋体"/>
              </w:rPr>
              <w:t>数量</w:t>
            </w:r>
          </w:p>
        </w:tc>
        <w:tc>
          <w:tcPr>
            <w:tcW w:w="1362" w:type="dxa"/>
          </w:tcPr>
          <w:p>
            <w:pPr>
              <w:tabs>
                <w:tab w:val="left" w:pos="3570"/>
              </w:tabs>
              <w:spacing w:line="360" w:lineRule="auto"/>
              <w:ind w:right="-21" w:rightChars="-1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bl>
    <w:p>
      <w:pPr>
        <w:tabs>
          <w:tab w:val="left" w:pos="3570"/>
        </w:tabs>
        <w:spacing w:line="360" w:lineRule="auto"/>
        <w:ind w:right="-21" w:rightChars="-10"/>
        <w:rPr>
          <w:rFonts w:ascii="宋体" w:hAnsi="宋体"/>
        </w:rPr>
      </w:pPr>
    </w:p>
    <w:p>
      <w:pPr>
        <w:tabs>
          <w:tab w:val="left" w:pos="3570"/>
        </w:tabs>
        <w:spacing w:line="360" w:lineRule="auto"/>
        <w:ind w:right="-21" w:rightChars="-10"/>
        <w:rPr>
          <w:rFonts w:ascii="宋体" w:hAnsi="宋体"/>
        </w:rPr>
      </w:pPr>
      <w:r>
        <w:rPr>
          <w:rFonts w:hint="eastAsia" w:ascii="宋体" w:hAnsi="宋体"/>
        </w:rPr>
        <w:t xml:space="preserve">报价代表签字：                            </w:t>
      </w:r>
    </w:p>
    <w:p>
      <w:pPr>
        <w:tabs>
          <w:tab w:val="left" w:pos="3570"/>
        </w:tabs>
        <w:spacing w:line="360" w:lineRule="auto"/>
        <w:ind w:right="-21" w:rightChars="-10"/>
        <w:rPr>
          <w:rFonts w:ascii="宋体" w:hAnsi="宋体"/>
        </w:rPr>
      </w:pPr>
    </w:p>
    <w:p>
      <w:pPr>
        <w:tabs>
          <w:tab w:val="left" w:pos="3570"/>
        </w:tabs>
        <w:spacing w:line="360" w:lineRule="auto"/>
        <w:ind w:right="-21" w:rightChars="-10"/>
        <w:rPr>
          <w:rFonts w:ascii="宋体" w:hAnsi="宋体"/>
        </w:rPr>
      </w:pPr>
      <w:r>
        <w:rPr>
          <w:rFonts w:hint="eastAsia" w:ascii="宋体" w:hAnsi="宋体"/>
        </w:rPr>
        <w:t xml:space="preserve">日        期：                            </w:t>
      </w:r>
    </w:p>
    <w:p>
      <w:pPr>
        <w:pStyle w:val="11"/>
        <w:spacing w:line="360" w:lineRule="auto"/>
        <w:ind w:left="0" w:leftChars="0" w:firstLine="0" w:firstLineChars="0"/>
        <w:jc w:val="both"/>
        <w:rPr>
          <w:rStyle w:val="26"/>
          <w:rFonts w:hint="eastAsia"/>
          <w:sz w:val="32"/>
          <w:szCs w:val="32"/>
          <w:lang w:val="en-US" w:eastAsia="zh-CN"/>
        </w:rPr>
      </w:pPr>
    </w:p>
    <w:p>
      <w:pPr>
        <w:pStyle w:val="11"/>
        <w:spacing w:line="360" w:lineRule="auto"/>
        <w:ind w:left="0" w:leftChars="0" w:firstLine="0" w:firstLineChars="0"/>
        <w:jc w:val="both"/>
        <w:rPr>
          <w:rStyle w:val="26"/>
          <w:rFonts w:hint="eastAsia"/>
          <w:sz w:val="32"/>
          <w:szCs w:val="32"/>
          <w:lang w:val="en-US" w:eastAsia="zh-CN"/>
        </w:rPr>
      </w:pPr>
    </w:p>
    <w:p>
      <w:pPr>
        <w:pStyle w:val="11"/>
        <w:spacing w:line="360" w:lineRule="auto"/>
        <w:ind w:left="0" w:leftChars="0" w:firstLine="0" w:firstLineChars="0"/>
        <w:jc w:val="both"/>
        <w:rPr>
          <w:rStyle w:val="26"/>
          <w:rFonts w:hint="eastAsia"/>
          <w:sz w:val="32"/>
          <w:szCs w:val="32"/>
          <w:lang w:val="en-US" w:eastAsia="zh-CN"/>
        </w:rPr>
      </w:pPr>
    </w:p>
    <w:p>
      <w:pPr>
        <w:pStyle w:val="11"/>
        <w:spacing w:line="360" w:lineRule="auto"/>
        <w:ind w:left="0" w:leftChars="0" w:firstLine="0" w:firstLineChars="0"/>
        <w:jc w:val="both"/>
        <w:rPr>
          <w:rStyle w:val="26"/>
          <w:rFonts w:hint="eastAsia"/>
          <w:sz w:val="32"/>
          <w:szCs w:val="32"/>
          <w:lang w:val="en-US" w:eastAsia="zh-CN"/>
        </w:rPr>
      </w:pPr>
    </w:p>
    <w:p>
      <w:pPr>
        <w:pStyle w:val="11"/>
        <w:spacing w:line="360" w:lineRule="auto"/>
        <w:ind w:left="0" w:leftChars="0" w:firstLine="0" w:firstLineChars="0"/>
        <w:jc w:val="both"/>
        <w:rPr>
          <w:rStyle w:val="26"/>
          <w:rFonts w:hint="eastAsia"/>
          <w:sz w:val="32"/>
          <w:szCs w:val="32"/>
          <w:lang w:val="en-US" w:eastAsia="zh-CN"/>
        </w:rPr>
      </w:pPr>
    </w:p>
    <w:p>
      <w:pPr>
        <w:pStyle w:val="11"/>
        <w:spacing w:line="360" w:lineRule="auto"/>
        <w:ind w:left="0" w:leftChars="0" w:firstLine="0" w:firstLineChars="0"/>
        <w:jc w:val="both"/>
        <w:rPr>
          <w:rStyle w:val="26"/>
          <w:rFonts w:hint="eastAsia"/>
          <w:sz w:val="32"/>
          <w:szCs w:val="32"/>
          <w:lang w:val="en-US" w:eastAsia="zh-CN"/>
        </w:rPr>
      </w:pPr>
    </w:p>
    <w:p>
      <w:pPr>
        <w:pStyle w:val="2"/>
        <w:bidi w:val="0"/>
        <w:rPr>
          <w:b/>
          <w:bCs/>
          <w:sz w:val="28"/>
          <w:szCs w:val="28"/>
        </w:rPr>
      </w:pPr>
      <w:r>
        <w:rPr>
          <w:rStyle w:val="26"/>
          <w:rFonts w:hint="eastAsia"/>
          <w:b/>
          <w:sz w:val="32"/>
          <w:szCs w:val="32"/>
          <w:lang w:val="en-US" w:eastAsia="zh-CN"/>
        </w:rPr>
        <w:t>格式4   规格、技术参数偏离表</w:t>
      </w:r>
    </w:p>
    <w:p>
      <w:pPr>
        <w:pStyle w:val="11"/>
        <w:spacing w:line="360" w:lineRule="auto"/>
        <w:ind w:firstLine="417" w:firstLineChars="174"/>
      </w:pPr>
      <w:r>
        <w:rPr>
          <w:rFonts w:hint="eastAsia"/>
        </w:rPr>
        <w:t xml:space="preserve">报价人全称（加盖公章）                       </w:t>
      </w:r>
    </w:p>
    <w:p>
      <w:pPr>
        <w:pStyle w:val="11"/>
        <w:spacing w:line="360" w:lineRule="auto"/>
        <w:ind w:firstLine="417" w:firstLineChars="174"/>
      </w:pPr>
      <w:r>
        <w:rPr>
          <w:rFonts w:hint="eastAsia"/>
        </w:rPr>
        <w:t xml:space="preserve">合同包：           </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11"/>
        <w:spacing w:line="360" w:lineRule="auto"/>
        <w:rPr>
          <w:rFonts w:hAnsi="宋体"/>
        </w:rPr>
      </w:pPr>
    </w:p>
    <w:p>
      <w:pPr>
        <w:pStyle w:val="11"/>
        <w:spacing w:line="360" w:lineRule="auto"/>
      </w:pPr>
    </w:p>
    <w:p>
      <w:pPr>
        <w:pStyle w:val="11"/>
        <w:spacing w:line="360" w:lineRule="auto"/>
        <w:ind w:firstLine="600" w:firstLineChars="250"/>
      </w:pPr>
      <w:r>
        <w:rPr>
          <w:rFonts w:hint="eastAsia"/>
        </w:rPr>
        <w:t xml:space="preserve">报价代表签字：                            </w:t>
      </w:r>
    </w:p>
    <w:p>
      <w:pPr>
        <w:pStyle w:val="11"/>
        <w:spacing w:line="360" w:lineRule="auto"/>
        <w:ind w:firstLine="600" w:firstLineChars="250"/>
      </w:pPr>
      <w:r>
        <w:rPr>
          <w:rFonts w:hint="eastAsia"/>
        </w:rPr>
        <w:t xml:space="preserve">日        期：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jc w:val="both"/>
        <w:rPr>
          <w:bCs/>
          <w:sz w:val="28"/>
        </w:rPr>
      </w:pPr>
    </w:p>
    <w:p>
      <w:pPr>
        <w:pStyle w:val="2"/>
        <w:bidi w:val="0"/>
        <w:rPr>
          <w:rFonts w:hint="eastAsia"/>
          <w:lang w:val="en-US" w:eastAsia="zh-CN"/>
        </w:rPr>
      </w:pPr>
      <w:r>
        <w:rPr>
          <w:rFonts w:hint="eastAsia"/>
          <w:lang w:val="en-US" w:eastAsia="zh-CN"/>
        </w:rPr>
        <w:t>格式5   报名函</w:t>
      </w: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9" name="直接连接符 12"/>
                <wp:cNvGraphicFramePr/>
                <a:graphic xmlns:a="http://schemas.openxmlformats.org/drawingml/2006/main">
                  <a:graphicData uri="http://schemas.microsoft.com/office/word/2010/wordprocessingShape">
                    <wps:wsp>
                      <wps:cNvCnPr>
                        <a:cxnSpLocks noChangeShapeType="1"/>
                      </wps:cNvCnPr>
                      <wps:spPr>
                        <a:xfrm>
                          <a:off x="0" y="0"/>
                          <a:ext cx="2286000" cy="0"/>
                        </a:xfrm>
                        <a:prstGeom prst="line">
                          <a:avLst/>
                        </a:prstGeom>
                        <a:ln w="9525">
                          <a:solidFill>
                            <a:srgbClr val="000000"/>
                          </a:solidFill>
                        </a:ln>
                      </wps:spPr>
                      <wps:bodyPr/>
                    </wps:wsp>
                  </a:graphicData>
                </a:graphic>
              </wp:anchor>
            </w:drawing>
          </mc:Choice>
          <mc:Fallback>
            <w:pict>
              <v:line id="直接连接符 12"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C7LC9IAAAAEAQAADwAAAAAAAAABACAAAAAiAAAAZHJz&#10;L2Rvd25yZXYueG1sUEsBAhQAFAAAAAgAh07iQGsZbmnRAQAAiQMAAA4AAAAAAAAAAQAgAAAAIQEA&#10;AGRycy9lMm9Eb2MueG1sUEsFBgAAAAAGAAYAWQEAAGQFA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25"/>
        <w:rPr>
          <w:rFonts w:ascii="宋体"/>
          <w:sz w:val="24"/>
        </w:rPr>
      </w:pPr>
    </w:p>
    <w:p>
      <w:pPr>
        <w:pStyle w:val="25"/>
        <w:rPr>
          <w:rFonts w:ascii="宋体"/>
          <w:sz w:val="24"/>
        </w:rPr>
      </w:pPr>
    </w:p>
    <w:p>
      <w:pPr>
        <w:pStyle w:val="2"/>
        <w:bidi w:val="0"/>
      </w:pPr>
      <w:bookmarkStart w:id="0" w:name="_Toc25077285"/>
      <w:bookmarkEnd w:id="0"/>
      <w:bookmarkStart w:id="1" w:name="_Toc2044"/>
      <w:bookmarkEnd w:id="1"/>
      <w:bookmarkStart w:id="2" w:name="_Toc3828"/>
      <w:bookmarkEnd w:id="2"/>
      <w:bookmarkStart w:id="3" w:name="_Toc499039059"/>
      <w:bookmarkEnd w:id="3"/>
      <w:r>
        <w:rPr>
          <w:rFonts w:hint="eastAsia"/>
        </w:rPr>
        <w:t>格式6   磋商文件中★号条款证明材料</w:t>
      </w:r>
    </w:p>
    <w:p>
      <w:pPr>
        <w:spacing w:line="360" w:lineRule="auto"/>
        <w:rPr>
          <w:sz w:val="28"/>
        </w:rPr>
      </w:pPr>
      <w:r>
        <w:rPr>
          <w:rFonts w:hint="eastAsia"/>
          <w:sz w:val="28"/>
        </w:rPr>
        <w:t>致：嘉庚创新实验室资产采购管理室</w:t>
      </w:r>
    </w:p>
    <w:p>
      <w:pPr>
        <w:spacing w:line="360" w:lineRule="auto"/>
        <w:ind w:firstLine="480" w:firstLineChars="200"/>
        <w:rPr>
          <w:rFonts w:ascii="宋体" w:hAnsi="宋体" w:cs="宋体"/>
          <w:sz w:val="24"/>
        </w:rPr>
      </w:pPr>
      <w:r>
        <w:rPr>
          <w:rFonts w:hint="eastAsia" w:ascii="宋体" w:hAnsi="宋体" w:cs="宋体"/>
          <w:sz w:val="24"/>
        </w:rPr>
        <w:t xml:space="preserve">根据贵方  </w:t>
      </w:r>
      <w:r>
        <w:rPr>
          <w:rFonts w:hint="eastAsia" w:ascii="宋体" w:hAnsi="宋体" w:cs="宋体"/>
          <w:sz w:val="24"/>
          <w:u w:val="single"/>
        </w:rPr>
        <w:t xml:space="preserve">                </w:t>
      </w:r>
      <w:r>
        <w:rPr>
          <w:rFonts w:hint="eastAsia" w:ascii="宋体" w:hAnsi="宋体" w:cs="宋体"/>
          <w:sz w:val="24"/>
        </w:rPr>
        <w:t>采购项目的磋商邀请，我司对该项目的★号条款具体响应</w:t>
      </w:r>
      <w:r>
        <w:rPr>
          <w:rFonts w:hint="eastAsia" w:ascii="宋体" w:hAnsi="宋体" w:cs="宋体"/>
          <w:sz w:val="24"/>
          <w:lang w:val="en-US" w:eastAsia="zh-CN"/>
        </w:rPr>
        <w:t>证明材料</w:t>
      </w:r>
      <w:r>
        <w:rPr>
          <w:rFonts w:hint="eastAsia" w:ascii="宋体" w:hAnsi="宋体" w:cs="宋体"/>
          <w:sz w:val="24"/>
        </w:rPr>
        <w:t>如下：</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磋商响应供应商名称（全称并加盖公章）：           </w:t>
      </w:r>
    </w:p>
    <w:p>
      <w:pPr>
        <w:spacing w:line="360" w:lineRule="auto"/>
        <w:rPr>
          <w:rFonts w:ascii="宋体" w:hAnsi="宋体" w:cs="宋体"/>
          <w:sz w:val="24"/>
        </w:rPr>
      </w:pPr>
      <w:r>
        <w:rPr>
          <w:rFonts w:hint="eastAsia" w:ascii="宋体" w:hAnsi="宋体" w:cs="宋体"/>
          <w:sz w:val="24"/>
        </w:rPr>
        <w:t xml:space="preserve">磋商响应供应商代表签字:           </w:t>
      </w:r>
    </w:p>
    <w:p>
      <w:pPr>
        <w:spacing w:line="380" w:lineRule="exact"/>
        <w:rPr>
          <w:rFonts w:hint="eastAsia" w:ascii="宋体" w:hAnsi="宋体" w:cs="宋体"/>
          <w:sz w:val="24"/>
        </w:rPr>
      </w:pPr>
      <w:r>
        <w:rPr>
          <w:rFonts w:hint="eastAsia" w:ascii="宋体" w:hAnsi="宋体" w:cs="宋体"/>
          <w:sz w:val="24"/>
        </w:rPr>
        <w:t>日  期：       年    月    日</w:t>
      </w:r>
    </w:p>
    <w:p>
      <w:pPr>
        <w:spacing w:line="380" w:lineRule="exact"/>
        <w:rPr>
          <w:rFonts w:hint="eastAsia" w:ascii="宋体" w:hAnsi="宋体" w:cs="宋体"/>
          <w:sz w:val="24"/>
        </w:rPr>
      </w:pPr>
    </w:p>
    <w:p>
      <w:pPr>
        <w:spacing w:line="380" w:lineRule="exact"/>
        <w:rPr>
          <w:rFonts w:hint="eastAsia" w:ascii="宋体" w:hAnsi="宋体" w:cs="宋体"/>
          <w:sz w:val="24"/>
        </w:rPr>
      </w:pPr>
    </w:p>
    <w:p>
      <w:pPr>
        <w:spacing w:line="380" w:lineRule="exact"/>
        <w:rPr>
          <w:rFonts w:hint="eastAsia" w:ascii="宋体" w:hAnsi="宋体" w:cs="宋体"/>
          <w:sz w:val="24"/>
        </w:rPr>
      </w:pPr>
    </w:p>
    <w:p>
      <w:pPr>
        <w:spacing w:line="380" w:lineRule="exact"/>
        <w:rPr>
          <w:rFonts w:hint="eastAsia" w:ascii="宋体" w:hAnsi="宋体" w:cs="宋体"/>
          <w:sz w:val="24"/>
        </w:rPr>
      </w:pPr>
    </w:p>
    <w:p>
      <w:pPr>
        <w:spacing w:line="380" w:lineRule="exact"/>
        <w:rPr>
          <w:rFonts w:hint="eastAsia" w:ascii="宋体" w:hAnsi="宋体" w:cs="宋体"/>
          <w:sz w:val="24"/>
        </w:rPr>
      </w:pPr>
    </w:p>
    <w:p>
      <w:pPr>
        <w:spacing w:line="380" w:lineRule="exact"/>
        <w:rPr>
          <w:rFonts w:hint="eastAsia" w:ascii="宋体" w:hAnsi="宋体" w:cs="宋体"/>
          <w:sz w:val="24"/>
        </w:rPr>
      </w:pPr>
    </w:p>
    <w:p>
      <w:pPr>
        <w:pStyle w:val="2"/>
        <w:bidi w:val="0"/>
        <w:ind w:firstLine="1928" w:firstLineChars="600"/>
        <w:jc w:val="both"/>
      </w:pPr>
      <w:r>
        <w:rPr>
          <w:rFonts w:hint="eastAsia"/>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9"/>
        <w:snapToGrid w:val="0"/>
        <w:spacing w:line="400" w:lineRule="exact"/>
        <w:ind w:firstLine="480" w:firstLineChars="200"/>
        <w:jc w:val="left"/>
        <w:rPr>
          <w:rFonts w:hAnsi="宋体"/>
          <w:sz w:val="24"/>
        </w:rPr>
      </w:pPr>
      <w:r>
        <w:rPr>
          <w:rFonts w:hint="eastAsia" w:hAnsi="宋体"/>
          <w:sz w:val="24"/>
        </w:rPr>
        <w:t>（报价人全称）法定代表人</w:t>
      </w:r>
      <w:r>
        <w:rPr>
          <w:rFonts w:hint="eastAsia" w:hAnsi="宋体"/>
          <w:sz w:val="24"/>
          <w:u w:val="single"/>
        </w:rPr>
        <w:t xml:space="preserve">        </w:t>
      </w:r>
      <w:r>
        <w:rPr>
          <w:rFonts w:hint="eastAsia" w:hAnsi="宋体"/>
          <w:sz w:val="24"/>
        </w:rPr>
        <w:t xml:space="preserve"> 授权  （报价人代表姓名）为报价人代表，代表本公司参加贵司组织的</w:t>
      </w:r>
      <w:r>
        <w:rPr>
          <w:rFonts w:hint="eastAsia" w:hAnsi="宋体"/>
          <w:sz w:val="24"/>
          <w:u w:val="single"/>
        </w:rPr>
        <w:t xml:space="preserve">          </w:t>
      </w:r>
      <w:r>
        <w:rPr>
          <w:rFonts w:hint="eastAsia" w:hAnsi="宋体"/>
          <w:sz w:val="24"/>
        </w:rPr>
        <w:t xml:space="preserve">  项目（招标编号 </w:t>
      </w:r>
      <w:r>
        <w:rPr>
          <w:rFonts w:hint="eastAsia" w:hAnsi="宋体"/>
          <w:sz w:val="24"/>
          <w:u w:val="single"/>
        </w:rPr>
        <w:t xml:space="preserve">     </w:t>
      </w:r>
      <w:r>
        <w:rPr>
          <w:rFonts w:hint="eastAsia" w:hAnsi="宋体"/>
          <w:sz w:val="24"/>
        </w:rPr>
        <w:t xml:space="preserve"> ）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9"/>
        <w:snapToGrid w:val="0"/>
        <w:spacing w:line="400" w:lineRule="exact"/>
        <w:ind w:firstLine="480" w:firstLineChars="200"/>
        <w:jc w:val="left"/>
        <w:rPr>
          <w:rFonts w:hAnsi="宋体"/>
          <w:sz w:val="24"/>
        </w:rPr>
      </w:pPr>
      <w:r>
        <w:rPr>
          <w:rFonts w:hint="eastAsia" w:hAnsi="宋体"/>
          <w:sz w:val="24"/>
        </w:rPr>
        <w:t>本授权书自出具之日起生效。</w:t>
      </w:r>
    </w:p>
    <w:p>
      <w:pPr>
        <w:pStyle w:val="9"/>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rPr>
        <w:t xml:space="preserve"> </w:t>
      </w:r>
      <w:r>
        <w:rPr>
          <w:rFonts w:hint="eastAsia"/>
          <w:sz w:val="24"/>
        </w:rPr>
        <w:t xml:space="preserve">    </w:t>
      </w:r>
      <w:r>
        <w:rPr>
          <w:sz w:val="24"/>
        </w:rPr>
        <w:t xml:space="preserve">         </w:t>
      </w:r>
      <w:r>
        <w:rPr>
          <w:rFonts w:hint="eastAsia"/>
          <w:sz w:val="24"/>
        </w:rPr>
        <w:t>性别：</w:t>
      </w:r>
      <w:r>
        <w:rPr>
          <w:sz w:val="24"/>
        </w:rPr>
        <w:t xml:space="preserve">     </w:t>
      </w:r>
      <w:r>
        <w:rPr>
          <w:rFonts w:hint="eastAsia"/>
          <w:sz w:val="24"/>
        </w:rPr>
        <w:t xml:space="preserve">  身份证号：</w:t>
      </w:r>
      <w:r>
        <w:rPr>
          <w:sz w:val="24"/>
        </w:rPr>
        <w:t xml:space="preserve">   </w:t>
      </w:r>
      <w:r>
        <w:rPr>
          <w:rFonts w:hint="eastAsia"/>
          <w:sz w:val="24"/>
        </w:rPr>
        <w:t xml:space="preserve">               </w:t>
      </w:r>
    </w:p>
    <w:p>
      <w:pPr>
        <w:spacing w:line="240" w:lineRule="atLeast"/>
        <w:rPr>
          <w:sz w:val="24"/>
        </w:rPr>
      </w:pPr>
      <w:r>
        <w:rPr>
          <w:rFonts w:hint="eastAsia"/>
          <w:sz w:val="24"/>
        </w:rPr>
        <w:t>单位：</w:t>
      </w:r>
      <w:r>
        <w:rPr>
          <w:sz w:val="24"/>
        </w:rPr>
        <w:t xml:space="preserve">                    </w:t>
      </w:r>
      <w:r>
        <w:rPr>
          <w:rFonts w:hint="eastAsia"/>
          <w:sz w:val="24"/>
        </w:rPr>
        <w:t>部门：</w:t>
      </w:r>
      <w:r>
        <w:rPr>
          <w:sz w:val="24"/>
        </w:rPr>
        <w:t xml:space="preserve">         </w:t>
      </w:r>
      <w:r>
        <w:rPr>
          <w:rFonts w:hint="eastAsia"/>
          <w:sz w:val="24"/>
        </w:rPr>
        <w:t xml:space="preserve">  职务：</w:t>
      </w:r>
      <w:r>
        <w:rPr>
          <w:sz w:val="24"/>
        </w:rPr>
        <w:t xml:space="preserve">   </w:t>
      </w:r>
      <w:r>
        <w:rPr>
          <w:rFonts w:hint="eastAsia"/>
          <w:sz w:val="24"/>
        </w:rPr>
        <w:t xml:space="preserve">         </w:t>
      </w:r>
      <w:r>
        <w:rPr>
          <w:sz w:val="24"/>
        </w:rPr>
        <w:t xml:space="preserve">      </w:t>
      </w:r>
    </w:p>
    <w:p>
      <w:pPr>
        <w:spacing w:line="240" w:lineRule="atLeast"/>
        <w:rPr>
          <w:sz w:val="24"/>
        </w:rPr>
      </w:pPr>
      <w:r>
        <w:rPr>
          <w:rFonts w:hint="eastAsia"/>
          <w:sz w:val="24"/>
        </w:rPr>
        <w:t xml:space="preserve">详细通讯地址：           </w:t>
      </w:r>
      <w:r>
        <w:rPr>
          <w:rFonts w:hint="eastAsia"/>
          <w:b/>
          <w:bCs/>
          <w:sz w:val="24"/>
        </w:rPr>
        <w:t xml:space="preserve"> </w:t>
      </w:r>
      <w:r>
        <w:rPr>
          <w:rFonts w:hint="eastAsia"/>
          <w:sz w:val="24"/>
        </w:rPr>
        <w:t>邮政编码</w:t>
      </w:r>
      <w:r>
        <w:rPr>
          <w:sz w:val="24"/>
        </w:rPr>
        <w:t>:</w:t>
      </w:r>
      <w:r>
        <w:rPr>
          <w:rFonts w:hint="eastAsia"/>
          <w:sz w:val="24"/>
        </w:rPr>
        <w:t xml:space="preserve">   </w:t>
      </w:r>
      <w:r>
        <w:rPr>
          <w:sz w:val="24"/>
        </w:rPr>
        <w:t xml:space="preserve"> </w:t>
      </w:r>
      <w:r>
        <w:rPr>
          <w:rFonts w:hint="eastAsia"/>
          <w:sz w:val="24"/>
        </w:rPr>
        <w:t xml:space="preserve">        电话：</w:t>
      </w:r>
      <w:r>
        <w:rPr>
          <w:sz w:val="24"/>
        </w:rPr>
        <w:t xml:space="preserve">    </w:t>
      </w:r>
      <w:r>
        <w:rPr>
          <w:rFonts w:hint="eastAsia"/>
          <w:sz w:val="24"/>
        </w:rPr>
        <w:t xml:space="preserve">     </w:t>
      </w:r>
      <w:r>
        <w:rPr>
          <w:sz w:val="24"/>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 xml:space="preserve">报价人（全称并加盖公章）：                    </w:t>
      </w:r>
    </w:p>
    <w:p>
      <w:pPr>
        <w:spacing w:line="400" w:lineRule="exact"/>
        <w:rPr>
          <w:sz w:val="24"/>
        </w:rPr>
      </w:pPr>
      <w:r>
        <w:rPr>
          <w:rFonts w:hint="eastAsia"/>
          <w:sz w:val="24"/>
        </w:rPr>
        <w:t xml:space="preserve">                                 法定代表人签字盖章：</w:t>
      </w:r>
      <w:r>
        <w:rPr>
          <w:sz w:val="24"/>
        </w:rPr>
        <w:t xml:space="preserve">     </w:t>
      </w:r>
      <w:r>
        <w:rPr>
          <w:rFonts w:hint="eastAsia"/>
          <w:sz w:val="24"/>
        </w:rPr>
        <w:t xml:space="preserve">         </w:t>
      </w:r>
      <w:r>
        <w:rPr>
          <w:sz w:val="24"/>
        </w:rPr>
        <w:t xml:space="preserve">       </w:t>
      </w:r>
    </w:p>
    <w:p>
      <w:pPr>
        <w:spacing w:line="400" w:lineRule="exact"/>
        <w:rPr>
          <w:sz w:val="24"/>
        </w:rPr>
      </w:pPr>
      <w:r>
        <w:rPr>
          <w:rFonts w:hint="eastAsia"/>
          <w:sz w:val="24"/>
        </w:rPr>
        <w:t xml:space="preserve">                                 日     期：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                </w:t>
      </w:r>
    </w:p>
    <w:p>
      <w:pPr>
        <w:spacing w:line="400" w:lineRule="exact"/>
        <w:rPr>
          <w:sz w:val="24"/>
        </w:rPr>
      </w:pPr>
      <w:r>
        <w:rPr>
          <w:rFonts w:hint="eastAsia"/>
          <w:sz w:val="24"/>
        </w:rPr>
        <w:t xml:space="preserve">                                 日     期：              </w:t>
      </w:r>
    </w:p>
    <w:p>
      <w:pPr>
        <w:spacing w:line="240" w:lineRule="atLeast"/>
        <w:rPr>
          <w:sz w:val="24"/>
        </w:rPr>
      </w:pPr>
      <w:r>
        <w:rPr>
          <w:rFonts w:hint="eastAsia"/>
          <w:sz w:val="24"/>
        </w:rPr>
        <w:t>附：被授权人身份证件</w:t>
      </w:r>
    </w:p>
    <w:p>
      <w:pPr>
        <w:pStyle w:val="36"/>
        <w:outlineLvl w:val="9"/>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21"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pPr>
                              <w:snapToGrid w:val="0"/>
                              <w:spacing w:line="440" w:lineRule="exact"/>
                            </w:pPr>
                            <w:r>
                              <w:rPr>
                                <w:rFonts w:hint="eastAsia"/>
                              </w:rPr>
                              <w:t xml:space="preserve">    加盖投标人公章</w:t>
                            </w:r>
                          </w:p>
                        </w:txbxContent>
                      </wps:txbx>
                      <wps:bodyPr rot="0" vert="horz" wrap="square" lIns="91440" tIns="45720" rIns="91440" bIns="45720" anchor="t" anchorCtr="0"/>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tZZutkAAAAKAQAADwAAAAAAAAABACAAAAAiAAAAZHJzL2Rvd25yZXYu&#10;eG1sUEsBAhQAFAAAAAgAh07iQKsfm4IzAgAAogQAAA4AAAAAAAAAAQAgAAAAKAEAAGRycy9lMm9E&#10;b2MueG1sUEsFBgAAAAAGAAYAWQEAAM0FAAAAAA==&#10;">
                <v:fill on="t" focussize="0,0"/>
                <v:stroke color="#000000" miterlimit="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9"/>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6"/>
              <w:rPr>
                <w:sz w:val="32"/>
              </w:rPr>
            </w:pPr>
            <w:r>
              <w:rPr>
                <w:rFonts w:hint="eastAsia"/>
                <w:sz w:val="32"/>
              </w:rPr>
              <w:t>（</w:t>
            </w:r>
            <w:r>
              <w:rPr>
                <w:rFonts w:hint="eastAsia"/>
                <w:sz w:val="24"/>
              </w:rPr>
              <w:t>报价代表身份证正面复印件）</w:t>
            </w:r>
          </w:p>
        </w:tc>
        <w:tc>
          <w:tcPr>
            <w:tcW w:w="4522" w:type="dxa"/>
            <w:vAlign w:val="center"/>
          </w:tcPr>
          <w:p>
            <w:pPr>
              <w:pStyle w:val="36"/>
              <w:rPr>
                <w:sz w:val="32"/>
              </w:rPr>
            </w:pPr>
            <w:r>
              <w:rPr>
                <w:rFonts w:hint="eastAsia"/>
                <w:sz w:val="32"/>
              </w:rPr>
              <w:t>（</w:t>
            </w:r>
            <w:r>
              <w:rPr>
                <w:rFonts w:hint="eastAsia"/>
                <w:sz w:val="24"/>
              </w:rPr>
              <w:t>报价代表身份证反面复印件）</w:t>
            </w:r>
          </w:p>
        </w:tc>
      </w:tr>
    </w:tbl>
    <w:p>
      <w:pPr>
        <w:pStyle w:val="11"/>
        <w:spacing w:line="360" w:lineRule="auto"/>
      </w:pPr>
      <w:r>
        <w:rPr>
          <w:rFonts w:hint="eastAsia"/>
        </w:rPr>
        <w:t>　　</w:t>
      </w:r>
    </w:p>
    <w:p>
      <w:pPr>
        <w:spacing w:line="360" w:lineRule="auto"/>
        <w:rPr>
          <w:rFonts w:ascii="宋体"/>
          <w:sz w:val="24"/>
        </w:rPr>
      </w:pPr>
    </w:p>
    <w:p>
      <w:pPr>
        <w:pStyle w:val="2"/>
        <w:bidi w:val="0"/>
      </w:pPr>
      <w:r>
        <w:rPr>
          <w:rFonts w:hint="eastAsia"/>
        </w:rPr>
        <w:t>格式8   售后服务服务方案承诺</w:t>
      </w:r>
    </w:p>
    <w:p>
      <w:pPr>
        <w:spacing w:line="360" w:lineRule="auto"/>
        <w:ind w:firstLine="570"/>
        <w:rPr>
          <w:rFonts w:cs="宋体"/>
          <w:sz w:val="28"/>
          <w:szCs w:val="28"/>
        </w:rPr>
      </w:pPr>
    </w:p>
    <w:p>
      <w:pPr>
        <w:spacing w:line="360" w:lineRule="auto"/>
        <w:ind w:firstLine="570"/>
        <w:rPr>
          <w:sz w:val="28"/>
          <w:szCs w:val="28"/>
        </w:rPr>
      </w:pPr>
      <w:r>
        <w:rPr>
          <w:rFonts w:hint="eastAsia" w:cs="宋体"/>
          <w:sz w:val="28"/>
          <w:szCs w:val="28"/>
        </w:rPr>
        <w:t>致：嘉庚创新实验室资产采购管理室</w:t>
      </w:r>
    </w:p>
    <w:p>
      <w:pPr>
        <w:spacing w:line="360" w:lineRule="auto"/>
        <w:ind w:firstLine="570"/>
        <w:rPr>
          <w:sz w:val="28"/>
          <w:szCs w:val="28"/>
        </w:rPr>
      </w:pPr>
      <w:r>
        <w:rPr>
          <w:rFonts w:hint="eastAsia" w:cs="宋体"/>
          <w:sz w:val="28"/>
          <w:szCs w:val="28"/>
        </w:rPr>
        <w:t>　　根据贵方为　　　　　　　　　　采购项目的报价邀请，我司对该项目做出如下售后服务承诺：</w:t>
      </w:r>
    </w:p>
    <w:p>
      <w:pPr>
        <w:spacing w:line="360" w:lineRule="auto"/>
        <w:ind w:firstLine="570"/>
        <w:rPr>
          <w:sz w:val="28"/>
          <w:szCs w:val="28"/>
        </w:rPr>
      </w:pPr>
      <w:r>
        <w:rPr>
          <w:rFonts w:hint="eastAsia" w:cs="宋体"/>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sz w:val="28"/>
          <w:szCs w:val="28"/>
        </w:rPr>
      </w:pPr>
      <w:r>
        <w:rPr>
          <w:rFonts w:hint="eastAsia" w:cs="宋体"/>
          <w:sz w:val="28"/>
          <w:szCs w:val="28"/>
        </w:rPr>
        <w:t>报价人全称（加盖公章）：</w:t>
      </w:r>
    </w:p>
    <w:p>
      <w:pPr>
        <w:spacing w:line="360" w:lineRule="auto"/>
        <w:rPr>
          <w:sz w:val="30"/>
          <w:szCs w:val="30"/>
        </w:rPr>
      </w:pPr>
      <w:r>
        <w:rPr>
          <w:rFonts w:hint="eastAsia" w:cs="宋体"/>
          <w:sz w:val="28"/>
          <w:szCs w:val="28"/>
        </w:rPr>
        <w:t>　　　　　　　　　　　　　　　　年　　月　　日</w:t>
      </w:r>
    </w:p>
    <w:p>
      <w:pPr>
        <w:spacing w:line="360" w:lineRule="auto"/>
        <w:rPr>
          <w:bCs/>
          <w:sz w:val="28"/>
        </w:rPr>
      </w:pPr>
    </w:p>
    <w:p>
      <w:pPr>
        <w:pStyle w:val="2"/>
        <w:bidi w:val="0"/>
      </w:pPr>
      <w:r>
        <w:rPr>
          <w:rFonts w:hint="eastAsia"/>
        </w:rPr>
        <w:t xml:space="preserve">格式9  </w:t>
      </w:r>
      <w:r>
        <w:rPr>
          <w:rFonts w:hint="eastAsia"/>
          <w:lang w:val="en-US" w:eastAsia="zh-CN"/>
        </w:rPr>
        <w:t xml:space="preserve"> </w:t>
      </w:r>
      <w:r>
        <w:rPr>
          <w:rFonts w:hint="eastAsia"/>
        </w:rPr>
        <w:t>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rPr>
      </w:pPr>
      <w:r>
        <w:rPr>
          <w:rFonts w:hint="eastAsia" w:ascii="宋体" w:hAnsi="宋体"/>
          <w:sz w:val="24"/>
        </w:rPr>
        <w:t>投标人：（全称并加盖单位公章）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 月 日</w:t>
      </w:r>
    </w:p>
    <w:p>
      <w:pPr>
        <w:spacing w:line="360" w:lineRule="auto"/>
        <w:ind w:firstLine="5244" w:firstLineChars="2185"/>
        <w:rPr>
          <w:rFonts w:ascii="宋体" w:hAnsi="宋体"/>
          <w:sz w:val="24"/>
        </w:rPr>
      </w:pPr>
    </w:p>
    <w:p>
      <w:pPr>
        <w:widowControl/>
        <w:jc w:val="left"/>
        <w:rPr>
          <w:rFonts w:ascii="宋体" w:hAnsi="宋体"/>
          <w:sz w:val="24"/>
        </w:rPr>
      </w:pPr>
      <w:r>
        <w:br w:type="page"/>
      </w:r>
    </w:p>
    <w:p>
      <w:pPr>
        <w:pStyle w:val="2"/>
        <w:bidi w:val="0"/>
        <w:rPr>
          <w:sz w:val="36"/>
          <w:szCs w:val="21"/>
        </w:rPr>
      </w:pPr>
      <w:r>
        <w:rPr>
          <w:rFonts w:hint="eastAsia"/>
          <w:sz w:val="36"/>
          <w:szCs w:val="21"/>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eastAsia="宋体" w:cs="Times New Roman"/>
          <w:sz w:val="24"/>
        </w:rPr>
        <w:t>3.不排挤其他投标人或以不正当竞争为目的而以低于成本报价投标</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adjustRightInd w:val="0"/>
        <w:snapToGrid w:val="0"/>
        <w:spacing w:line="360" w:lineRule="auto"/>
        <w:ind w:firstLine="3360" w:firstLineChars="1400"/>
        <w:rPr>
          <w:rFonts w:hint="eastAsia" w:ascii="宋体" w:hAnsi="宋体" w:eastAsia="宋体" w:cs="Times New Roman"/>
          <w:sz w:val="24"/>
        </w:rPr>
      </w:pPr>
      <w:r>
        <w:rPr>
          <w:rFonts w:hint="eastAsia" w:ascii="宋体" w:hAnsi="宋体" w:eastAsia="宋体" w:cs="Times New Roman"/>
          <w:sz w:val="24"/>
        </w:rPr>
        <w:t>20     年    月       日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w Cen MT">
    <w:altName w:val="Segoe Print"/>
    <w:panose1 w:val="020B0602020104020603"/>
    <w:charset w:val="00"/>
    <w:family w:val="swiss"/>
    <w:pitch w:val="default"/>
    <w:sig w:usb0="00000000" w:usb1="00000000" w:usb2="00000000" w:usb3="00000000" w:csb0="00000003" w:csb1="00000000"/>
  </w:font>
  <w:font w:name="Arial">
    <w:panose1 w:val="020B0604020202020204"/>
    <w:charset w:val="00"/>
    <w:family w:val="swiss"/>
    <w:pitch w:val="default"/>
    <w:sig w:usb0="E0002EFF" w:usb1="C000785B"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05F26"/>
    <w:multiLevelType w:val="singleLevel"/>
    <w:tmpl w:val="DAF05F26"/>
    <w:lvl w:ilvl="0" w:tentative="0">
      <w:start w:val="2"/>
      <w:numFmt w:val="chineseCounting"/>
      <w:suff w:val="nothing"/>
      <w:lvlText w:val="（%1）"/>
      <w:lvlJc w:val="left"/>
      <w:rPr>
        <w:rFonts w:hint="eastAsia"/>
      </w:rPr>
    </w:lvl>
  </w:abstractNum>
  <w:abstractNum w:abstractNumId="1">
    <w:nsid w:val="EBD89028"/>
    <w:multiLevelType w:val="multilevel"/>
    <w:tmpl w:val="EBD89028"/>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37A357A"/>
    <w:multiLevelType w:val="singleLevel"/>
    <w:tmpl w:val="037A357A"/>
    <w:lvl w:ilvl="0" w:tentative="0">
      <w:start w:val="1"/>
      <w:numFmt w:val="decimal"/>
      <w:lvlText w:val="%1."/>
      <w:lvlJc w:val="left"/>
      <w:pPr>
        <w:tabs>
          <w:tab w:val="left" w:pos="312"/>
        </w:tabs>
      </w:p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677AE53"/>
    <w:multiLevelType w:val="singleLevel"/>
    <w:tmpl w:val="3677AE53"/>
    <w:lvl w:ilvl="0" w:tentative="0">
      <w:start w:val="1"/>
      <w:numFmt w:val="chineseCounting"/>
      <w:suff w:val="nothing"/>
      <w:lvlText w:val="（%1）"/>
      <w:lvlJc w:val="left"/>
      <w:pPr>
        <w:ind w:left="0" w:leftChars="0" w:firstLine="0" w:firstLineChars="0"/>
      </w:pPr>
      <w:rPr>
        <w:rFonts w:hint="eastAsia"/>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D91EEA"/>
    <w:rsid w:val="00003469"/>
    <w:rsid w:val="000112F6"/>
    <w:rsid w:val="00030101"/>
    <w:rsid w:val="0003454E"/>
    <w:rsid w:val="00037C45"/>
    <w:rsid w:val="00040664"/>
    <w:rsid w:val="000432C3"/>
    <w:rsid w:val="0004650B"/>
    <w:rsid w:val="000506E4"/>
    <w:rsid w:val="00052BE1"/>
    <w:rsid w:val="0005470B"/>
    <w:rsid w:val="000548AC"/>
    <w:rsid w:val="000575C7"/>
    <w:rsid w:val="000576E4"/>
    <w:rsid w:val="00066067"/>
    <w:rsid w:val="00066492"/>
    <w:rsid w:val="000766F7"/>
    <w:rsid w:val="00081648"/>
    <w:rsid w:val="0008524E"/>
    <w:rsid w:val="000873DD"/>
    <w:rsid w:val="00091F0D"/>
    <w:rsid w:val="000A2CD5"/>
    <w:rsid w:val="000B1CE1"/>
    <w:rsid w:val="000C2486"/>
    <w:rsid w:val="000C281F"/>
    <w:rsid w:val="000D18A3"/>
    <w:rsid w:val="000D1B5A"/>
    <w:rsid w:val="000D3B84"/>
    <w:rsid w:val="000D4877"/>
    <w:rsid w:val="000F0BB0"/>
    <w:rsid w:val="000F2C6F"/>
    <w:rsid w:val="000F677C"/>
    <w:rsid w:val="00102896"/>
    <w:rsid w:val="00110C78"/>
    <w:rsid w:val="00121DFE"/>
    <w:rsid w:val="00122C60"/>
    <w:rsid w:val="00123BB3"/>
    <w:rsid w:val="001320B8"/>
    <w:rsid w:val="001367AF"/>
    <w:rsid w:val="00143149"/>
    <w:rsid w:val="00150608"/>
    <w:rsid w:val="0015593F"/>
    <w:rsid w:val="00160551"/>
    <w:rsid w:val="00161018"/>
    <w:rsid w:val="00161038"/>
    <w:rsid w:val="00161E26"/>
    <w:rsid w:val="00161E60"/>
    <w:rsid w:val="00162777"/>
    <w:rsid w:val="001671CF"/>
    <w:rsid w:val="001779F2"/>
    <w:rsid w:val="00177D1B"/>
    <w:rsid w:val="00177D6B"/>
    <w:rsid w:val="00181AFF"/>
    <w:rsid w:val="001972D4"/>
    <w:rsid w:val="00197926"/>
    <w:rsid w:val="001A0735"/>
    <w:rsid w:val="001B17EC"/>
    <w:rsid w:val="001C1C22"/>
    <w:rsid w:val="001D018E"/>
    <w:rsid w:val="001D12D7"/>
    <w:rsid w:val="001D18B2"/>
    <w:rsid w:val="001D1C61"/>
    <w:rsid w:val="001D7775"/>
    <w:rsid w:val="001E1A25"/>
    <w:rsid w:val="001E6053"/>
    <w:rsid w:val="001E7678"/>
    <w:rsid w:val="001F1137"/>
    <w:rsid w:val="001F2628"/>
    <w:rsid w:val="001F4FD2"/>
    <w:rsid w:val="002018FC"/>
    <w:rsid w:val="00201D35"/>
    <w:rsid w:val="002158D5"/>
    <w:rsid w:val="002179D2"/>
    <w:rsid w:val="002228AC"/>
    <w:rsid w:val="00225EF0"/>
    <w:rsid w:val="00232BDA"/>
    <w:rsid w:val="00232FD3"/>
    <w:rsid w:val="002401F8"/>
    <w:rsid w:val="00241556"/>
    <w:rsid w:val="002419EA"/>
    <w:rsid w:val="00244AD1"/>
    <w:rsid w:val="00251392"/>
    <w:rsid w:val="00252A2E"/>
    <w:rsid w:val="00255C85"/>
    <w:rsid w:val="002631CF"/>
    <w:rsid w:val="0026445A"/>
    <w:rsid w:val="00264967"/>
    <w:rsid w:val="00266A32"/>
    <w:rsid w:val="002710AA"/>
    <w:rsid w:val="0028442B"/>
    <w:rsid w:val="00286F32"/>
    <w:rsid w:val="002902A8"/>
    <w:rsid w:val="002914F6"/>
    <w:rsid w:val="00291B85"/>
    <w:rsid w:val="002926B8"/>
    <w:rsid w:val="002928A6"/>
    <w:rsid w:val="00297313"/>
    <w:rsid w:val="00297B85"/>
    <w:rsid w:val="002A0A98"/>
    <w:rsid w:val="002A1028"/>
    <w:rsid w:val="002A11E8"/>
    <w:rsid w:val="002A4572"/>
    <w:rsid w:val="002A69FF"/>
    <w:rsid w:val="002A6D5D"/>
    <w:rsid w:val="002B1F2A"/>
    <w:rsid w:val="002B61B3"/>
    <w:rsid w:val="002B6478"/>
    <w:rsid w:val="002D246B"/>
    <w:rsid w:val="002D3F1B"/>
    <w:rsid w:val="002D4F31"/>
    <w:rsid w:val="002F143B"/>
    <w:rsid w:val="002F3610"/>
    <w:rsid w:val="002F41CC"/>
    <w:rsid w:val="003009C8"/>
    <w:rsid w:val="003052AB"/>
    <w:rsid w:val="003128C9"/>
    <w:rsid w:val="003311ED"/>
    <w:rsid w:val="00347738"/>
    <w:rsid w:val="00353426"/>
    <w:rsid w:val="00353FA9"/>
    <w:rsid w:val="003567F8"/>
    <w:rsid w:val="00365562"/>
    <w:rsid w:val="00366086"/>
    <w:rsid w:val="00374F90"/>
    <w:rsid w:val="003751B3"/>
    <w:rsid w:val="00387C86"/>
    <w:rsid w:val="00391059"/>
    <w:rsid w:val="00391B7F"/>
    <w:rsid w:val="003A1F89"/>
    <w:rsid w:val="003A34FF"/>
    <w:rsid w:val="003A4BD3"/>
    <w:rsid w:val="003B7BED"/>
    <w:rsid w:val="003C7E07"/>
    <w:rsid w:val="003D437E"/>
    <w:rsid w:val="003D5522"/>
    <w:rsid w:val="003D6D68"/>
    <w:rsid w:val="003D76E6"/>
    <w:rsid w:val="003F0F1C"/>
    <w:rsid w:val="003F1A67"/>
    <w:rsid w:val="003F1CB1"/>
    <w:rsid w:val="003F239B"/>
    <w:rsid w:val="00413CF5"/>
    <w:rsid w:val="00414B3F"/>
    <w:rsid w:val="00422098"/>
    <w:rsid w:val="0042238E"/>
    <w:rsid w:val="0042246F"/>
    <w:rsid w:val="0042250F"/>
    <w:rsid w:val="004364DE"/>
    <w:rsid w:val="00437C2C"/>
    <w:rsid w:val="004414C1"/>
    <w:rsid w:val="00445D8C"/>
    <w:rsid w:val="00450B1E"/>
    <w:rsid w:val="00460356"/>
    <w:rsid w:val="004720A0"/>
    <w:rsid w:val="00477B45"/>
    <w:rsid w:val="004802C2"/>
    <w:rsid w:val="00484A82"/>
    <w:rsid w:val="00485111"/>
    <w:rsid w:val="00490832"/>
    <w:rsid w:val="004917F9"/>
    <w:rsid w:val="0049368D"/>
    <w:rsid w:val="004A19B5"/>
    <w:rsid w:val="004A6975"/>
    <w:rsid w:val="004B1246"/>
    <w:rsid w:val="004C0DDD"/>
    <w:rsid w:val="004C2F34"/>
    <w:rsid w:val="004C7221"/>
    <w:rsid w:val="004D013C"/>
    <w:rsid w:val="004D6C85"/>
    <w:rsid w:val="004F4FD9"/>
    <w:rsid w:val="00515D90"/>
    <w:rsid w:val="00527663"/>
    <w:rsid w:val="0053770C"/>
    <w:rsid w:val="00541651"/>
    <w:rsid w:val="0054473A"/>
    <w:rsid w:val="00544DA2"/>
    <w:rsid w:val="005778AF"/>
    <w:rsid w:val="00581B96"/>
    <w:rsid w:val="005829B5"/>
    <w:rsid w:val="0058305B"/>
    <w:rsid w:val="0059004C"/>
    <w:rsid w:val="00592151"/>
    <w:rsid w:val="005A2B9C"/>
    <w:rsid w:val="005A33DD"/>
    <w:rsid w:val="005A3908"/>
    <w:rsid w:val="005A4CEB"/>
    <w:rsid w:val="005A5545"/>
    <w:rsid w:val="005B05BE"/>
    <w:rsid w:val="005C1340"/>
    <w:rsid w:val="005D029F"/>
    <w:rsid w:val="005E2C5D"/>
    <w:rsid w:val="005E33B3"/>
    <w:rsid w:val="005E4F83"/>
    <w:rsid w:val="005E68AD"/>
    <w:rsid w:val="005E7253"/>
    <w:rsid w:val="005F4678"/>
    <w:rsid w:val="005F4BFA"/>
    <w:rsid w:val="005F5B7A"/>
    <w:rsid w:val="00602EA1"/>
    <w:rsid w:val="00603E1D"/>
    <w:rsid w:val="0061242B"/>
    <w:rsid w:val="00614257"/>
    <w:rsid w:val="00620CE0"/>
    <w:rsid w:val="00635F05"/>
    <w:rsid w:val="0064604F"/>
    <w:rsid w:val="006527DC"/>
    <w:rsid w:val="0065433C"/>
    <w:rsid w:val="00661645"/>
    <w:rsid w:val="006617D0"/>
    <w:rsid w:val="006627BA"/>
    <w:rsid w:val="00664C95"/>
    <w:rsid w:val="00670151"/>
    <w:rsid w:val="0068349E"/>
    <w:rsid w:val="0068664D"/>
    <w:rsid w:val="006918E0"/>
    <w:rsid w:val="006935A2"/>
    <w:rsid w:val="00693F92"/>
    <w:rsid w:val="00694B62"/>
    <w:rsid w:val="006969E9"/>
    <w:rsid w:val="006A2741"/>
    <w:rsid w:val="006B610C"/>
    <w:rsid w:val="006B61C7"/>
    <w:rsid w:val="006B68AA"/>
    <w:rsid w:val="006C4B09"/>
    <w:rsid w:val="006D091B"/>
    <w:rsid w:val="006D664A"/>
    <w:rsid w:val="006D7BDC"/>
    <w:rsid w:val="006E10B2"/>
    <w:rsid w:val="006E1595"/>
    <w:rsid w:val="006F02A3"/>
    <w:rsid w:val="006F7041"/>
    <w:rsid w:val="006F7EBA"/>
    <w:rsid w:val="007002A4"/>
    <w:rsid w:val="00705611"/>
    <w:rsid w:val="00706BB1"/>
    <w:rsid w:val="00707538"/>
    <w:rsid w:val="0071064B"/>
    <w:rsid w:val="00712136"/>
    <w:rsid w:val="007238D0"/>
    <w:rsid w:val="0072657F"/>
    <w:rsid w:val="007409E8"/>
    <w:rsid w:val="00741988"/>
    <w:rsid w:val="007428CC"/>
    <w:rsid w:val="00746B67"/>
    <w:rsid w:val="0075371A"/>
    <w:rsid w:val="0076181A"/>
    <w:rsid w:val="007633B5"/>
    <w:rsid w:val="00764EC4"/>
    <w:rsid w:val="007662C3"/>
    <w:rsid w:val="0077233C"/>
    <w:rsid w:val="0077615E"/>
    <w:rsid w:val="007812DB"/>
    <w:rsid w:val="007900C6"/>
    <w:rsid w:val="00794DA7"/>
    <w:rsid w:val="007955C8"/>
    <w:rsid w:val="007A0C83"/>
    <w:rsid w:val="007B54C2"/>
    <w:rsid w:val="007B6365"/>
    <w:rsid w:val="007C29A2"/>
    <w:rsid w:val="007C75A8"/>
    <w:rsid w:val="007D56EC"/>
    <w:rsid w:val="007D6A13"/>
    <w:rsid w:val="007E262A"/>
    <w:rsid w:val="007E2672"/>
    <w:rsid w:val="007E3391"/>
    <w:rsid w:val="007E4A81"/>
    <w:rsid w:val="007E4E41"/>
    <w:rsid w:val="007F28A8"/>
    <w:rsid w:val="007F5A4A"/>
    <w:rsid w:val="00805CDE"/>
    <w:rsid w:val="0082525F"/>
    <w:rsid w:val="00840C70"/>
    <w:rsid w:val="00847238"/>
    <w:rsid w:val="00860577"/>
    <w:rsid w:val="00864B89"/>
    <w:rsid w:val="0086620B"/>
    <w:rsid w:val="008667EA"/>
    <w:rsid w:val="008771E4"/>
    <w:rsid w:val="00884EC8"/>
    <w:rsid w:val="008860AF"/>
    <w:rsid w:val="00886F5B"/>
    <w:rsid w:val="0089053E"/>
    <w:rsid w:val="00892C3E"/>
    <w:rsid w:val="00893D9C"/>
    <w:rsid w:val="008944BF"/>
    <w:rsid w:val="008A2CB2"/>
    <w:rsid w:val="008A4491"/>
    <w:rsid w:val="008A74D9"/>
    <w:rsid w:val="008B1B1E"/>
    <w:rsid w:val="008B56C4"/>
    <w:rsid w:val="008C044E"/>
    <w:rsid w:val="008C0C15"/>
    <w:rsid w:val="008C5DF2"/>
    <w:rsid w:val="008D3199"/>
    <w:rsid w:val="008D373A"/>
    <w:rsid w:val="008D68C0"/>
    <w:rsid w:val="008E4C5B"/>
    <w:rsid w:val="008E6E6D"/>
    <w:rsid w:val="008E77F7"/>
    <w:rsid w:val="008F5CE1"/>
    <w:rsid w:val="008F6206"/>
    <w:rsid w:val="008F624F"/>
    <w:rsid w:val="00900BEF"/>
    <w:rsid w:val="00915F8B"/>
    <w:rsid w:val="009176C2"/>
    <w:rsid w:val="00917768"/>
    <w:rsid w:val="00925060"/>
    <w:rsid w:val="00942D9C"/>
    <w:rsid w:val="00943ADF"/>
    <w:rsid w:val="0094446D"/>
    <w:rsid w:val="009451EE"/>
    <w:rsid w:val="009515E9"/>
    <w:rsid w:val="00956940"/>
    <w:rsid w:val="009571B1"/>
    <w:rsid w:val="0096043D"/>
    <w:rsid w:val="00961C1D"/>
    <w:rsid w:val="00963A02"/>
    <w:rsid w:val="009806A9"/>
    <w:rsid w:val="00980881"/>
    <w:rsid w:val="00980AC0"/>
    <w:rsid w:val="00984774"/>
    <w:rsid w:val="009852B5"/>
    <w:rsid w:val="0098539B"/>
    <w:rsid w:val="00985970"/>
    <w:rsid w:val="00993490"/>
    <w:rsid w:val="0099502C"/>
    <w:rsid w:val="009977F4"/>
    <w:rsid w:val="00997AC8"/>
    <w:rsid w:val="00997D33"/>
    <w:rsid w:val="009A337A"/>
    <w:rsid w:val="009A5F3A"/>
    <w:rsid w:val="009B1BC5"/>
    <w:rsid w:val="009B282B"/>
    <w:rsid w:val="009C41A9"/>
    <w:rsid w:val="009C45D3"/>
    <w:rsid w:val="009C6361"/>
    <w:rsid w:val="009C6C4E"/>
    <w:rsid w:val="009D216F"/>
    <w:rsid w:val="009D22D4"/>
    <w:rsid w:val="009D2C51"/>
    <w:rsid w:val="009D584F"/>
    <w:rsid w:val="009E0595"/>
    <w:rsid w:val="009E0D2E"/>
    <w:rsid w:val="009E0FF3"/>
    <w:rsid w:val="009E22C1"/>
    <w:rsid w:val="009E4D8C"/>
    <w:rsid w:val="009E54A2"/>
    <w:rsid w:val="009E7C24"/>
    <w:rsid w:val="00A02AED"/>
    <w:rsid w:val="00A05AFB"/>
    <w:rsid w:val="00A07C4E"/>
    <w:rsid w:val="00A10009"/>
    <w:rsid w:val="00A12796"/>
    <w:rsid w:val="00A15627"/>
    <w:rsid w:val="00A200CF"/>
    <w:rsid w:val="00A32381"/>
    <w:rsid w:val="00A36E6D"/>
    <w:rsid w:val="00A41638"/>
    <w:rsid w:val="00A41BD2"/>
    <w:rsid w:val="00A5223B"/>
    <w:rsid w:val="00A60BE3"/>
    <w:rsid w:val="00A623CD"/>
    <w:rsid w:val="00A729D2"/>
    <w:rsid w:val="00A739A9"/>
    <w:rsid w:val="00A770D0"/>
    <w:rsid w:val="00A77F25"/>
    <w:rsid w:val="00A90F7B"/>
    <w:rsid w:val="00A9359D"/>
    <w:rsid w:val="00A96073"/>
    <w:rsid w:val="00AA2973"/>
    <w:rsid w:val="00AA2EF7"/>
    <w:rsid w:val="00AA4740"/>
    <w:rsid w:val="00AB03FB"/>
    <w:rsid w:val="00AB2C5B"/>
    <w:rsid w:val="00AB3DCF"/>
    <w:rsid w:val="00AB654B"/>
    <w:rsid w:val="00AB7C0E"/>
    <w:rsid w:val="00AC2017"/>
    <w:rsid w:val="00AC2FD7"/>
    <w:rsid w:val="00AC300D"/>
    <w:rsid w:val="00AC3520"/>
    <w:rsid w:val="00AC6685"/>
    <w:rsid w:val="00AC7E19"/>
    <w:rsid w:val="00AD1CB6"/>
    <w:rsid w:val="00AD2E36"/>
    <w:rsid w:val="00AD30A6"/>
    <w:rsid w:val="00AD47B3"/>
    <w:rsid w:val="00AE1F23"/>
    <w:rsid w:val="00AE73E0"/>
    <w:rsid w:val="00B07E6A"/>
    <w:rsid w:val="00B120F7"/>
    <w:rsid w:val="00B12E8B"/>
    <w:rsid w:val="00B25646"/>
    <w:rsid w:val="00B32162"/>
    <w:rsid w:val="00B33864"/>
    <w:rsid w:val="00B34C8C"/>
    <w:rsid w:val="00B427EB"/>
    <w:rsid w:val="00B46381"/>
    <w:rsid w:val="00B47658"/>
    <w:rsid w:val="00B50727"/>
    <w:rsid w:val="00B50A52"/>
    <w:rsid w:val="00B548F4"/>
    <w:rsid w:val="00B62981"/>
    <w:rsid w:val="00B81826"/>
    <w:rsid w:val="00B94534"/>
    <w:rsid w:val="00B94837"/>
    <w:rsid w:val="00B97DFF"/>
    <w:rsid w:val="00BB0111"/>
    <w:rsid w:val="00BB06EE"/>
    <w:rsid w:val="00BB4200"/>
    <w:rsid w:val="00BB6694"/>
    <w:rsid w:val="00BC5825"/>
    <w:rsid w:val="00BC6988"/>
    <w:rsid w:val="00BC706A"/>
    <w:rsid w:val="00BD3CA3"/>
    <w:rsid w:val="00BE4430"/>
    <w:rsid w:val="00BE7785"/>
    <w:rsid w:val="00BF1503"/>
    <w:rsid w:val="00BF5778"/>
    <w:rsid w:val="00C16B67"/>
    <w:rsid w:val="00C300FF"/>
    <w:rsid w:val="00C3229A"/>
    <w:rsid w:val="00C35517"/>
    <w:rsid w:val="00C376A1"/>
    <w:rsid w:val="00C55CD7"/>
    <w:rsid w:val="00C637E0"/>
    <w:rsid w:val="00C65804"/>
    <w:rsid w:val="00C65EAC"/>
    <w:rsid w:val="00C7074E"/>
    <w:rsid w:val="00C73A85"/>
    <w:rsid w:val="00C819B8"/>
    <w:rsid w:val="00C8218F"/>
    <w:rsid w:val="00C83877"/>
    <w:rsid w:val="00C87235"/>
    <w:rsid w:val="00C93315"/>
    <w:rsid w:val="00C965B8"/>
    <w:rsid w:val="00CA050E"/>
    <w:rsid w:val="00CA3A02"/>
    <w:rsid w:val="00CA7F6F"/>
    <w:rsid w:val="00CB1E6F"/>
    <w:rsid w:val="00CB350A"/>
    <w:rsid w:val="00CC27E1"/>
    <w:rsid w:val="00CD7D56"/>
    <w:rsid w:val="00CE080E"/>
    <w:rsid w:val="00CE0C29"/>
    <w:rsid w:val="00CF15E0"/>
    <w:rsid w:val="00CF38B0"/>
    <w:rsid w:val="00D003C1"/>
    <w:rsid w:val="00D02BCA"/>
    <w:rsid w:val="00D03FBC"/>
    <w:rsid w:val="00D052ED"/>
    <w:rsid w:val="00D05C55"/>
    <w:rsid w:val="00D070CB"/>
    <w:rsid w:val="00D12839"/>
    <w:rsid w:val="00D139B1"/>
    <w:rsid w:val="00D32F0A"/>
    <w:rsid w:val="00D669B2"/>
    <w:rsid w:val="00D67481"/>
    <w:rsid w:val="00D676D4"/>
    <w:rsid w:val="00D67AF8"/>
    <w:rsid w:val="00D73872"/>
    <w:rsid w:val="00D75D5A"/>
    <w:rsid w:val="00D83F8B"/>
    <w:rsid w:val="00D83FE4"/>
    <w:rsid w:val="00D86698"/>
    <w:rsid w:val="00D9027F"/>
    <w:rsid w:val="00D90E6A"/>
    <w:rsid w:val="00D911C1"/>
    <w:rsid w:val="00D9161F"/>
    <w:rsid w:val="00D91EEA"/>
    <w:rsid w:val="00D96BE9"/>
    <w:rsid w:val="00DA0BDC"/>
    <w:rsid w:val="00DA25C5"/>
    <w:rsid w:val="00DA3570"/>
    <w:rsid w:val="00DB04E2"/>
    <w:rsid w:val="00DB06B5"/>
    <w:rsid w:val="00DB45E0"/>
    <w:rsid w:val="00DC427D"/>
    <w:rsid w:val="00DC6ECB"/>
    <w:rsid w:val="00DD3AC3"/>
    <w:rsid w:val="00DD3E18"/>
    <w:rsid w:val="00DE0736"/>
    <w:rsid w:val="00DE6EAA"/>
    <w:rsid w:val="00DF6A89"/>
    <w:rsid w:val="00E025C3"/>
    <w:rsid w:val="00E07E5D"/>
    <w:rsid w:val="00E11EB5"/>
    <w:rsid w:val="00E14E30"/>
    <w:rsid w:val="00E22D12"/>
    <w:rsid w:val="00E25B7E"/>
    <w:rsid w:val="00E353E3"/>
    <w:rsid w:val="00E45E09"/>
    <w:rsid w:val="00E50756"/>
    <w:rsid w:val="00E5280E"/>
    <w:rsid w:val="00E5370E"/>
    <w:rsid w:val="00E6297B"/>
    <w:rsid w:val="00E6430B"/>
    <w:rsid w:val="00E66488"/>
    <w:rsid w:val="00E67C7F"/>
    <w:rsid w:val="00E72047"/>
    <w:rsid w:val="00E72215"/>
    <w:rsid w:val="00E76177"/>
    <w:rsid w:val="00E77A72"/>
    <w:rsid w:val="00E82414"/>
    <w:rsid w:val="00E84DB8"/>
    <w:rsid w:val="00E9467E"/>
    <w:rsid w:val="00E956EF"/>
    <w:rsid w:val="00EA1B6F"/>
    <w:rsid w:val="00EA244A"/>
    <w:rsid w:val="00EB0A36"/>
    <w:rsid w:val="00EB1520"/>
    <w:rsid w:val="00EB305C"/>
    <w:rsid w:val="00EB32A0"/>
    <w:rsid w:val="00EB5332"/>
    <w:rsid w:val="00EB6469"/>
    <w:rsid w:val="00EB7265"/>
    <w:rsid w:val="00EC05E8"/>
    <w:rsid w:val="00EC2878"/>
    <w:rsid w:val="00EC44F6"/>
    <w:rsid w:val="00ED47A6"/>
    <w:rsid w:val="00ED6970"/>
    <w:rsid w:val="00ED6AB3"/>
    <w:rsid w:val="00ED71B9"/>
    <w:rsid w:val="00EE024C"/>
    <w:rsid w:val="00EE2745"/>
    <w:rsid w:val="00EE3EAF"/>
    <w:rsid w:val="00EE6936"/>
    <w:rsid w:val="00EF25E4"/>
    <w:rsid w:val="00EF591D"/>
    <w:rsid w:val="00F00B40"/>
    <w:rsid w:val="00F052B5"/>
    <w:rsid w:val="00F056C3"/>
    <w:rsid w:val="00F0798A"/>
    <w:rsid w:val="00F10069"/>
    <w:rsid w:val="00F108CD"/>
    <w:rsid w:val="00F10F9B"/>
    <w:rsid w:val="00F133A3"/>
    <w:rsid w:val="00F14487"/>
    <w:rsid w:val="00F240B0"/>
    <w:rsid w:val="00F25E8A"/>
    <w:rsid w:val="00F34482"/>
    <w:rsid w:val="00F4097A"/>
    <w:rsid w:val="00F43911"/>
    <w:rsid w:val="00F57391"/>
    <w:rsid w:val="00F64496"/>
    <w:rsid w:val="00F64731"/>
    <w:rsid w:val="00F70DF7"/>
    <w:rsid w:val="00F71246"/>
    <w:rsid w:val="00F71BB4"/>
    <w:rsid w:val="00F721BD"/>
    <w:rsid w:val="00F75858"/>
    <w:rsid w:val="00F80759"/>
    <w:rsid w:val="00F81326"/>
    <w:rsid w:val="00F82AE9"/>
    <w:rsid w:val="00F82F0F"/>
    <w:rsid w:val="00F83029"/>
    <w:rsid w:val="00F8314B"/>
    <w:rsid w:val="00F8491C"/>
    <w:rsid w:val="00FA016D"/>
    <w:rsid w:val="00FA243A"/>
    <w:rsid w:val="00FB3252"/>
    <w:rsid w:val="00FB3543"/>
    <w:rsid w:val="00FC27C1"/>
    <w:rsid w:val="00FC4AE7"/>
    <w:rsid w:val="00FC52B6"/>
    <w:rsid w:val="00FD2493"/>
    <w:rsid w:val="00FD2ECA"/>
    <w:rsid w:val="00FD483C"/>
    <w:rsid w:val="00FD4CDA"/>
    <w:rsid w:val="00FD6965"/>
    <w:rsid w:val="00FE2D21"/>
    <w:rsid w:val="00FF1213"/>
    <w:rsid w:val="00FF7DCE"/>
    <w:rsid w:val="014B5EED"/>
    <w:rsid w:val="08447022"/>
    <w:rsid w:val="08860159"/>
    <w:rsid w:val="09503A55"/>
    <w:rsid w:val="0DDC11DF"/>
    <w:rsid w:val="0FEF5478"/>
    <w:rsid w:val="11A3248D"/>
    <w:rsid w:val="175C657B"/>
    <w:rsid w:val="19CF0C5E"/>
    <w:rsid w:val="22C97BAA"/>
    <w:rsid w:val="2F6E1AC6"/>
    <w:rsid w:val="2FCA3D35"/>
    <w:rsid w:val="31347D36"/>
    <w:rsid w:val="37C86B55"/>
    <w:rsid w:val="41A7113D"/>
    <w:rsid w:val="48510646"/>
    <w:rsid w:val="4A6174CB"/>
    <w:rsid w:val="508B6B33"/>
    <w:rsid w:val="5E916F5F"/>
    <w:rsid w:val="677017B9"/>
    <w:rsid w:val="6F763FBA"/>
    <w:rsid w:val="770070C1"/>
    <w:rsid w:val="7AD57B0C"/>
    <w:rsid w:val="7FBE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0"/>
    <w:semiHidden/>
    <w:unhideWhenUsed/>
    <w:qFormat/>
    <w:uiPriority w:val="99"/>
    <w:pPr>
      <w:jc w:val="left"/>
    </w:pPr>
  </w:style>
  <w:style w:type="paragraph" w:styleId="7">
    <w:name w:val="Body Text"/>
    <w:basedOn w:val="1"/>
    <w:link w:val="53"/>
    <w:qFormat/>
    <w:uiPriority w:val="0"/>
    <w:pPr>
      <w:spacing w:after="120"/>
    </w:pPr>
  </w:style>
  <w:style w:type="paragraph" w:styleId="8">
    <w:name w:val="Body Text Indent"/>
    <w:basedOn w:val="1"/>
    <w:link w:val="38"/>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9">
    <w:name w:val="Plain Text"/>
    <w:basedOn w:val="1"/>
    <w:link w:val="27"/>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ody Text Indent 2"/>
    <w:basedOn w:val="1"/>
    <w:link w:val="35"/>
    <w:qFormat/>
    <w:uiPriority w:val="0"/>
    <w:pPr>
      <w:tabs>
        <w:tab w:val="left" w:pos="0"/>
        <w:tab w:val="left" w:pos="735"/>
      </w:tabs>
      <w:ind w:firstLine="523" w:firstLineChars="218"/>
    </w:pPr>
    <w:rPr>
      <w:rFonts w:ascii="宋体"/>
      <w:sz w:val="24"/>
      <w:szCs w:val="20"/>
    </w:rPr>
  </w:style>
  <w:style w:type="paragraph" w:styleId="12">
    <w:name w:val="Balloon Text"/>
    <w:basedOn w:val="1"/>
    <w:link w:val="49"/>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36" w:after="68"/>
      <w:jc w:val="left"/>
    </w:pPr>
    <w:rPr>
      <w:rFonts w:ascii="Verdana" w:hAnsi="Verdana" w:cs="宋体"/>
      <w:color w:val="333333"/>
      <w:kern w:val="0"/>
      <w:sz w:val="16"/>
      <w:szCs w:val="16"/>
    </w:rPr>
  </w:style>
  <w:style w:type="paragraph" w:styleId="17">
    <w:name w:val="annotation subject"/>
    <w:basedOn w:val="6"/>
    <w:next w:val="6"/>
    <w:link w:val="51"/>
    <w:semiHidden/>
    <w:unhideWhenUsed/>
    <w:qFormat/>
    <w:uiPriority w:val="99"/>
    <w:rPr>
      <w:b/>
      <w:bCs/>
    </w:rPr>
  </w:style>
  <w:style w:type="paragraph" w:styleId="18">
    <w:name w:val="Body Text First Indent 2"/>
    <w:basedOn w:val="8"/>
    <w:link w:val="52"/>
    <w:qFormat/>
    <w:uiPriority w:val="0"/>
    <w:pPr>
      <w:widowControl w:val="0"/>
      <w:adjustRightInd/>
      <w:snapToGrid/>
      <w:ind w:firstLine="420" w:firstLineChars="200"/>
      <w:jc w:val="both"/>
    </w:pPr>
    <w:rPr>
      <w:rFonts w:ascii="Times New Roman" w:hAnsi="Times New Roman" w:eastAsia="宋体"/>
      <w:kern w:val="2"/>
      <w:sz w:val="21"/>
      <w:szCs w:val="24"/>
    </w:rPr>
  </w:style>
  <w:style w:type="character" w:styleId="21">
    <w:name w:val="Strong"/>
    <w:qFormat/>
    <w:uiPriority w:val="22"/>
    <w:rPr>
      <w:b/>
      <w:bCs/>
    </w:rPr>
  </w:style>
  <w:style w:type="character" w:styleId="22">
    <w:name w:val="page number"/>
    <w:qFormat/>
    <w:uiPriority w:val="0"/>
  </w:style>
  <w:style w:type="character" w:styleId="23">
    <w:name w:val="Hyperlink"/>
    <w:basedOn w:val="20"/>
    <w:qFormat/>
    <w:uiPriority w:val="0"/>
    <w:rPr>
      <w:color w:val="0000FF"/>
    </w:rPr>
  </w:style>
  <w:style w:type="character" w:styleId="24">
    <w:name w:val="annotation reference"/>
    <w:basedOn w:val="20"/>
    <w:semiHidden/>
    <w:unhideWhenUsed/>
    <w:qFormat/>
    <w:uiPriority w:val="99"/>
    <w:rPr>
      <w:sz w:val="21"/>
      <w:szCs w:val="21"/>
    </w:rPr>
  </w:style>
  <w:style w:type="paragraph" w:customStyle="1" w:styleId="25">
    <w:name w:val="Fließtext"/>
    <w:basedOn w:val="1"/>
    <w:qFormat/>
    <w:uiPriority w:val="0"/>
    <w:pPr>
      <w:overflowPunct w:val="0"/>
      <w:autoSpaceDE w:val="0"/>
      <w:autoSpaceDN w:val="0"/>
      <w:adjustRightInd w:val="0"/>
    </w:pPr>
    <w:rPr>
      <w:kern w:val="28"/>
    </w:rPr>
  </w:style>
  <w:style w:type="character" w:customStyle="1" w:styleId="26">
    <w:name w:val="标题 1 字符"/>
    <w:link w:val="2"/>
    <w:qFormat/>
    <w:uiPriority w:val="99"/>
    <w:rPr>
      <w:rFonts w:ascii="宋体" w:hAnsi="Times New Roman" w:eastAsia="宋体" w:cs="Times New Roman"/>
      <w:b/>
      <w:kern w:val="44"/>
      <w:sz w:val="20"/>
      <w:szCs w:val="20"/>
    </w:rPr>
  </w:style>
  <w:style w:type="character" w:customStyle="1" w:styleId="27">
    <w:name w:val="纯文本 字符"/>
    <w:link w:val="9"/>
    <w:qFormat/>
    <w:uiPriority w:val="0"/>
    <w:rPr>
      <w:rFonts w:ascii="宋体" w:hAnsi="Courier New" w:eastAsia="宋体" w:cs="Courier New"/>
      <w:sz w:val="21"/>
      <w:szCs w:val="21"/>
    </w:rPr>
  </w:style>
  <w:style w:type="character" w:customStyle="1" w:styleId="28">
    <w:name w:val="页脚 字符"/>
    <w:link w:val="13"/>
    <w:semiHidden/>
    <w:qFormat/>
    <w:uiPriority w:val="99"/>
    <w:rPr>
      <w:rFonts w:cs="Times New Roman"/>
      <w:sz w:val="18"/>
      <w:szCs w:val="18"/>
    </w:rPr>
  </w:style>
  <w:style w:type="character" w:customStyle="1" w:styleId="29">
    <w:name w:val="页眉 字符"/>
    <w:link w:val="14"/>
    <w:semiHidden/>
    <w:qFormat/>
    <w:uiPriority w:val="99"/>
    <w:rPr>
      <w:rFonts w:cs="Times New Roman"/>
      <w:sz w:val="18"/>
      <w:szCs w:val="18"/>
    </w:rPr>
  </w:style>
  <w:style w:type="paragraph" w:customStyle="1" w:styleId="30">
    <w:name w:val="列出段落1"/>
    <w:basedOn w:val="1"/>
    <w:link w:val="48"/>
    <w:qFormat/>
    <w:uiPriority w:val="34"/>
    <w:pPr>
      <w:ind w:firstLine="420" w:firstLineChars="200"/>
    </w:pPr>
  </w:style>
  <w:style w:type="paragraph" w:customStyle="1" w:styleId="31">
    <w:name w:val="样式1"/>
    <w:basedOn w:val="9"/>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32">
    <w:name w:val="p0"/>
    <w:basedOn w:val="1"/>
    <w:qFormat/>
    <w:uiPriority w:val="0"/>
    <w:pPr>
      <w:widowControl/>
    </w:pPr>
    <w:rPr>
      <w:kern w:val="0"/>
      <w:szCs w:val="21"/>
    </w:rPr>
  </w:style>
  <w:style w:type="paragraph" w:styleId="33">
    <w:name w:val="List Paragraph"/>
    <w:basedOn w:val="1"/>
    <w:link w:val="34"/>
    <w:qFormat/>
    <w:uiPriority w:val="34"/>
    <w:pPr>
      <w:ind w:firstLine="420" w:firstLineChars="200"/>
    </w:pPr>
    <w:rPr>
      <w:rFonts w:ascii="Calibri" w:hAnsi="Calibri"/>
      <w:szCs w:val="22"/>
    </w:rPr>
  </w:style>
  <w:style w:type="character" w:customStyle="1" w:styleId="34">
    <w:name w:val="列表段落 字符1"/>
    <w:link w:val="33"/>
    <w:qFormat/>
    <w:uiPriority w:val="34"/>
    <w:rPr>
      <w:kern w:val="2"/>
      <w:sz w:val="21"/>
      <w:szCs w:val="22"/>
      <w:lang w:bidi="ar-SA"/>
    </w:rPr>
  </w:style>
  <w:style w:type="character" w:customStyle="1" w:styleId="35">
    <w:name w:val="正文文本缩进 2 字符"/>
    <w:basedOn w:val="20"/>
    <w:link w:val="11"/>
    <w:qFormat/>
    <w:uiPriority w:val="0"/>
    <w:rPr>
      <w:rFonts w:ascii="宋体" w:hAnsi="Times New Roman"/>
      <w:kern w:val="2"/>
      <w:sz w:val="24"/>
      <w:lang w:bidi="ar-SA"/>
    </w:rPr>
  </w:style>
  <w:style w:type="paragraph" w:customStyle="1" w:styleId="36">
    <w:name w:val="样式3"/>
    <w:basedOn w:val="9"/>
    <w:qFormat/>
    <w:uiPriority w:val="0"/>
    <w:pPr>
      <w:spacing w:line="0" w:lineRule="atLeast"/>
      <w:outlineLvl w:val="0"/>
    </w:pPr>
    <w:rPr>
      <w:rFonts w:cs="Times New Roman"/>
      <w:sz w:val="28"/>
      <w:szCs w:val="24"/>
    </w:rPr>
  </w:style>
  <w:style w:type="character" w:customStyle="1" w:styleId="37">
    <w:name w:val="标题 2 字符"/>
    <w:basedOn w:val="20"/>
    <w:link w:val="3"/>
    <w:qFormat/>
    <w:uiPriority w:val="9"/>
    <w:rPr>
      <w:rFonts w:asciiTheme="majorHAnsi" w:hAnsiTheme="majorHAnsi" w:eastAsiaTheme="majorEastAsia" w:cstheme="majorBidi"/>
      <w:b/>
      <w:bCs/>
      <w:kern w:val="2"/>
      <w:sz w:val="32"/>
      <w:szCs w:val="32"/>
      <w:lang w:bidi="ar-SA"/>
    </w:rPr>
  </w:style>
  <w:style w:type="character" w:customStyle="1" w:styleId="38">
    <w:name w:val="正文文本缩进 字符"/>
    <w:basedOn w:val="20"/>
    <w:link w:val="8"/>
    <w:qFormat/>
    <w:uiPriority w:val="99"/>
    <w:rPr>
      <w:rFonts w:ascii="Tahoma" w:hAnsi="Tahoma" w:eastAsia="微软雅黑"/>
      <w:sz w:val="22"/>
      <w:szCs w:val="22"/>
      <w:lang w:bidi="ar-SA"/>
    </w:rPr>
  </w:style>
  <w:style w:type="character" w:customStyle="1" w:styleId="39">
    <w:name w:val="A1"/>
    <w:qFormat/>
    <w:uiPriority w:val="99"/>
    <w:rPr>
      <w:rFonts w:cs="Tw Cen MT"/>
      <w:color w:val="000000"/>
      <w:sz w:val="22"/>
      <w:szCs w:val="22"/>
    </w:rPr>
  </w:style>
  <w:style w:type="character" w:customStyle="1" w:styleId="40">
    <w:name w:val="A7"/>
    <w:qFormat/>
    <w:uiPriority w:val="99"/>
    <w:rPr>
      <w:rFonts w:cs="Tw Cen MT"/>
      <w:color w:val="000000"/>
      <w:sz w:val="13"/>
      <w:szCs w:val="13"/>
    </w:rPr>
  </w:style>
  <w:style w:type="character" w:customStyle="1" w:styleId="41">
    <w:name w:val="不明显参考1"/>
    <w:basedOn w:val="20"/>
    <w:qFormat/>
    <w:uiPriority w:val="31"/>
    <w:rPr>
      <w:color w:val="595959" w:themeColor="text1" w:themeTint="A6"/>
      <w14:textFill>
        <w14:solidFill>
          <w14:schemeClr w14:val="tx1">
            <w14:lumMod w14:val="65000"/>
            <w14:lumOff w14:val="35000"/>
          </w14:schemeClr>
        </w14:solidFill>
      </w14:textFill>
    </w:rPr>
  </w:style>
  <w:style w:type="character" w:customStyle="1" w:styleId="42">
    <w:name w:val="标题1"/>
    <w:basedOn w:val="20"/>
    <w:qFormat/>
    <w:uiPriority w:val="0"/>
  </w:style>
  <w:style w:type="character" w:customStyle="1" w:styleId="43">
    <w:name w:val="标题 3 字符"/>
    <w:basedOn w:val="20"/>
    <w:link w:val="4"/>
    <w:semiHidden/>
    <w:qFormat/>
    <w:uiPriority w:val="0"/>
    <w:rPr>
      <w:rFonts w:ascii="Times New Roman" w:hAnsi="Times New Roman"/>
      <w:b/>
      <w:bCs/>
      <w:kern w:val="2"/>
      <w:sz w:val="32"/>
      <w:szCs w:val="32"/>
      <w:lang w:bidi="ar-SA"/>
    </w:rPr>
  </w:style>
  <w:style w:type="paragraph" w:customStyle="1" w:styleId="44">
    <w:name w:val="编号"/>
    <w:basedOn w:val="1"/>
    <w:qFormat/>
    <w:uiPriority w:val="99"/>
    <w:pPr>
      <w:ind w:firstLine="420" w:firstLineChars="200"/>
    </w:pPr>
    <w:rPr>
      <w:szCs w:val="21"/>
    </w:rPr>
  </w:style>
  <w:style w:type="character" w:customStyle="1" w:styleId="45">
    <w:name w:val="HTML 预设格式 Char"/>
    <w:basedOn w:val="20"/>
    <w:semiHidden/>
    <w:qFormat/>
    <w:uiPriority w:val="99"/>
    <w:rPr>
      <w:rFonts w:ascii="Courier New" w:hAnsi="Courier New" w:cs="Courier New"/>
      <w:kern w:val="2"/>
      <w:lang w:bidi="ar-SA"/>
    </w:rPr>
  </w:style>
  <w:style w:type="character" w:customStyle="1" w:styleId="46">
    <w:name w:val="HTML 预设格式 字符"/>
    <w:link w:val="15"/>
    <w:semiHidden/>
    <w:qFormat/>
    <w:uiPriority w:val="99"/>
    <w:rPr>
      <w:rFonts w:ascii="宋体" w:hAnsi="宋体" w:cs="宋体"/>
      <w:sz w:val="24"/>
      <w:szCs w:val="24"/>
      <w:lang w:bidi="ar-SA"/>
    </w:rPr>
  </w:style>
  <w:style w:type="paragraph" w:customStyle="1" w:styleId="47">
    <w:name w:val="Char Char Char Char Char Char Char"/>
    <w:basedOn w:val="1"/>
    <w:qFormat/>
    <w:uiPriority w:val="0"/>
  </w:style>
  <w:style w:type="character" w:customStyle="1" w:styleId="48">
    <w:name w:val="列表段落 字符"/>
    <w:link w:val="30"/>
    <w:qFormat/>
    <w:uiPriority w:val="34"/>
    <w:rPr>
      <w:rFonts w:ascii="Times New Roman" w:hAnsi="Times New Roman"/>
      <w:kern w:val="2"/>
      <w:sz w:val="21"/>
      <w:szCs w:val="24"/>
      <w:lang w:bidi="ar-SA"/>
    </w:rPr>
  </w:style>
  <w:style w:type="character" w:customStyle="1" w:styleId="49">
    <w:name w:val="批注框文本 字符"/>
    <w:basedOn w:val="20"/>
    <w:link w:val="12"/>
    <w:semiHidden/>
    <w:qFormat/>
    <w:uiPriority w:val="99"/>
    <w:rPr>
      <w:kern w:val="2"/>
      <w:sz w:val="18"/>
      <w:szCs w:val="18"/>
    </w:rPr>
  </w:style>
  <w:style w:type="character" w:customStyle="1" w:styleId="50">
    <w:name w:val="批注文字 字符"/>
    <w:basedOn w:val="20"/>
    <w:link w:val="6"/>
    <w:semiHidden/>
    <w:qFormat/>
    <w:uiPriority w:val="99"/>
    <w:rPr>
      <w:kern w:val="2"/>
      <w:sz w:val="21"/>
      <w:szCs w:val="24"/>
    </w:rPr>
  </w:style>
  <w:style w:type="character" w:customStyle="1" w:styleId="51">
    <w:name w:val="批注主题 字符"/>
    <w:basedOn w:val="50"/>
    <w:link w:val="17"/>
    <w:semiHidden/>
    <w:qFormat/>
    <w:uiPriority w:val="99"/>
    <w:rPr>
      <w:b/>
      <w:bCs/>
      <w:kern w:val="2"/>
      <w:sz w:val="21"/>
      <w:szCs w:val="24"/>
    </w:rPr>
  </w:style>
  <w:style w:type="character" w:customStyle="1" w:styleId="52">
    <w:name w:val="正文文本首行缩进 2 字符"/>
    <w:basedOn w:val="38"/>
    <w:link w:val="18"/>
    <w:qFormat/>
    <w:uiPriority w:val="0"/>
    <w:rPr>
      <w:rFonts w:ascii="Tahoma" w:hAnsi="Tahoma" w:eastAsia="微软雅黑"/>
      <w:kern w:val="2"/>
      <w:sz w:val="21"/>
      <w:szCs w:val="24"/>
      <w:lang w:bidi="ar-SA"/>
    </w:rPr>
  </w:style>
  <w:style w:type="character" w:customStyle="1" w:styleId="53">
    <w:name w:val="正文文本 字符"/>
    <w:basedOn w:val="20"/>
    <w:link w:val="7"/>
    <w:qFormat/>
    <w:uiPriority w:val="0"/>
    <w:rPr>
      <w:kern w:val="2"/>
      <w:sz w:val="21"/>
      <w:szCs w:val="24"/>
    </w:rPr>
  </w:style>
  <w:style w:type="paragraph" w:customStyle="1" w:styleId="54">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55">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paragraph" w:customStyle="1" w:styleId="56">
    <w:name w:val="a"/>
    <w:basedOn w:val="1"/>
    <w:qFormat/>
    <w:uiPriority w:val="0"/>
    <w:pPr>
      <w:widowControl/>
      <w:jc w:val="left"/>
    </w:pPr>
    <w:rPr>
      <w:rFonts w:asci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30</Pages>
  <Words>13898</Words>
  <Characters>14569</Characters>
  <Lines>116</Lines>
  <Paragraphs>32</Paragraphs>
  <TotalTime>35</TotalTime>
  <ScaleCrop>false</ScaleCrop>
  <LinksUpToDate>false</LinksUpToDate>
  <CharactersWithSpaces>15527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2021-11-19T03:34:00Z</dcterms:created>
  <dc:creator>许熠堃(8027)</dc:creator>
  <cp:lastModifiedBy>徐双印</cp:lastModifiedBy>
  <dcterms:modified xsi:type="dcterms:W3CDTF">2023-03-28T03:19:47Z</dcterms:modified>
  <dc:title>厦  门  大  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DBFC73C8787A4E4EAB32EFAC0A7F7D64</vt:lpwstr>
  </property>
</Properties>
</file>