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color w:val="000000" w:themeColor="text1"/>
          <w:sz w:val="28"/>
          <w:szCs w:val="28"/>
          <w14:textFill>
            <w14:solidFill>
              <w14:schemeClr w14:val="tx1"/>
            </w14:solidFill>
          </w14:textFill>
        </w:rPr>
      </w:pPr>
    </w:p>
    <w:p>
      <w:pPr>
        <w:ind w:firstLine="2401" w:firstLineChars="500"/>
        <w:rPr>
          <w:rFonts w:ascii="宋体"/>
          <w:b/>
          <w:bCs/>
          <w:color w:val="000000" w:themeColor="text1"/>
          <w:sz w:val="36"/>
          <w:szCs w:val="28"/>
          <w14:textFill>
            <w14:solidFill>
              <w14:schemeClr w14:val="tx1"/>
            </w14:solidFill>
          </w14:textFill>
        </w:rPr>
      </w:pPr>
      <w:r>
        <w:rPr>
          <w:rFonts w:hint="eastAsia" w:eastAsia="隶书"/>
          <w:b/>
          <w:bCs/>
          <w:color w:val="000000" w:themeColor="text1"/>
          <w:sz w:val="48"/>
          <w14:textFill>
            <w14:solidFill>
              <w14:schemeClr w14:val="tx1"/>
            </w14:solidFill>
          </w14:textFill>
        </w:rPr>
        <w:t>嘉庚创新实验室</w:t>
      </w:r>
    </w:p>
    <w:p>
      <w:pPr>
        <w:jc w:val="center"/>
        <w:rPr>
          <w:rFonts w:eastAsia="隶书"/>
          <w:b/>
          <w:bCs/>
          <w:color w:val="000000" w:themeColor="text1"/>
          <w:sz w:val="84"/>
          <w14:textFill>
            <w14:solidFill>
              <w14:schemeClr w14:val="tx1"/>
            </w14:solidFill>
          </w14:textFill>
        </w:rPr>
      </w:pPr>
      <w:r>
        <w:rPr>
          <w:rFonts w:hint="eastAsia" w:eastAsia="隶书"/>
          <w:b/>
          <w:bCs/>
          <w:color w:val="000000" w:themeColor="text1"/>
          <w:sz w:val="84"/>
          <w14:textFill>
            <w14:solidFill>
              <w14:schemeClr w14:val="tx1"/>
            </w14:solidFill>
          </w14:textFill>
        </w:rPr>
        <w:t>磋商谈判文件</w:t>
      </w:r>
    </w:p>
    <w:p>
      <w:pPr>
        <w:jc w:val="center"/>
        <w:rPr>
          <w:rFonts w:ascii="宋体"/>
          <w:b/>
          <w:bCs/>
          <w:color w:val="000000" w:themeColor="text1"/>
          <w:sz w:val="36"/>
          <w:szCs w:val="28"/>
          <w14:textFill>
            <w14:solidFill>
              <w14:schemeClr w14:val="tx1"/>
            </w14:solidFill>
          </w14:textFill>
        </w:rPr>
      </w:pPr>
    </w:p>
    <w:p>
      <w:pPr>
        <w:jc w:val="center"/>
        <w:rPr>
          <w:rFonts w:ascii="宋体"/>
          <w:b/>
          <w:bCs/>
          <w:color w:val="000000" w:themeColor="text1"/>
          <w:sz w:val="36"/>
          <w:szCs w:val="28"/>
          <w14:textFill>
            <w14:solidFill>
              <w14:schemeClr w14:val="tx1"/>
            </w14:solidFill>
          </w14:textFill>
        </w:rPr>
      </w:pPr>
    </w:p>
    <w:p>
      <w:pPr>
        <w:jc w:val="center"/>
        <w:rPr>
          <w:rFonts w:ascii="宋体"/>
          <w:b/>
          <w:bCs/>
          <w:color w:val="000000" w:themeColor="text1"/>
          <w:sz w:val="36"/>
          <w:szCs w:val="28"/>
          <w14:textFill>
            <w14:solidFill>
              <w14:schemeClr w14:val="tx1"/>
            </w14:solidFill>
          </w14:textFill>
        </w:rPr>
      </w:pPr>
    </w:p>
    <w:p>
      <w:pPr>
        <w:jc w:val="center"/>
        <w:rPr>
          <w:rFonts w:eastAsia="隶书"/>
          <w:b/>
          <w:bCs/>
          <w:color w:val="000000" w:themeColor="text1"/>
          <w:sz w:val="44"/>
          <w14:textFill>
            <w14:solidFill>
              <w14:schemeClr w14:val="tx1"/>
            </w14:solidFill>
          </w14:textFill>
        </w:rPr>
      </w:pPr>
      <w:r>
        <w:rPr>
          <w:rFonts w:eastAsia="隶书"/>
          <w:b/>
          <w:bCs/>
          <w:color w:val="000000" w:themeColor="text1"/>
          <w:sz w:val="44"/>
          <w14:textFill>
            <w14:solidFill>
              <w14:schemeClr w14:val="tx1"/>
            </w14:solidFill>
          </w14:textFill>
        </w:rPr>
        <w:t xml:space="preserve"> </w:t>
      </w:r>
      <w:r>
        <w:rPr>
          <w:rFonts w:hint="eastAsia" w:eastAsia="隶书"/>
          <w:b/>
          <w:bCs/>
          <w:color w:val="000000" w:themeColor="text1"/>
          <w:sz w:val="44"/>
          <w14:textFill>
            <w14:solidFill>
              <w14:schemeClr w14:val="tx1"/>
            </w14:solidFill>
          </w14:textFill>
        </w:rPr>
        <w:t>采购项目</w:t>
      </w:r>
    </w:p>
    <w:p>
      <w:pPr>
        <w:jc w:val="center"/>
        <w:rPr>
          <w:rFonts w:eastAsia="隶书"/>
          <w:b/>
          <w:bCs/>
          <w:color w:val="000000" w:themeColor="text1"/>
          <w:sz w:val="44"/>
          <w14:textFill>
            <w14:solidFill>
              <w14:schemeClr w14:val="tx1"/>
            </w14:solidFill>
          </w14:textFill>
        </w:rPr>
      </w:pPr>
    </w:p>
    <w:p>
      <w:pPr>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科研创新服务平台</w:t>
      </w:r>
    </w:p>
    <w:p>
      <w:pPr>
        <w:jc w:val="center"/>
        <w:rPr>
          <w:rFonts w:ascii="宋体" w:hAnsi="宋体" w:cs="宋体"/>
          <w:b/>
          <w:bCs/>
          <w:color w:val="000000" w:themeColor="text1"/>
          <w:sz w:val="36"/>
          <w:szCs w:val="36"/>
          <w14:textFill>
            <w14:solidFill>
              <w14:schemeClr w14:val="tx1"/>
            </w14:solidFill>
          </w14:textFill>
        </w:rPr>
      </w:pPr>
    </w:p>
    <w:p>
      <w:pPr>
        <w:jc w:val="center"/>
        <w:rPr>
          <w:rFonts w:hint="eastAsia" w:ascii="宋体" w:hAnsi="宋体" w:eastAsia="宋体"/>
          <w:b/>
          <w:bCs/>
          <w:color w:val="000000" w:themeColor="text1"/>
          <w:sz w:val="28"/>
          <w:szCs w:val="28"/>
          <w:lang w:eastAsia="zh-CN"/>
          <w14:textFill>
            <w14:solidFill>
              <w14:schemeClr w14:val="tx1"/>
            </w14:solidFill>
          </w14:textFill>
        </w:rPr>
      </w:pPr>
      <w:r>
        <w:rPr>
          <w:rFonts w:hint="eastAsia"/>
          <w:b/>
          <w:bCs/>
          <w:color w:val="000000" w:themeColor="text1"/>
          <w:sz w:val="36"/>
          <w14:textFill>
            <w14:solidFill>
              <w14:schemeClr w14:val="tx1"/>
            </w14:solidFill>
          </w14:textFill>
        </w:rPr>
        <w:t>采购编号：JGYQ-2021TP-09</w:t>
      </w:r>
      <w:r>
        <w:rPr>
          <w:rFonts w:hint="eastAsia"/>
          <w:b/>
          <w:bCs/>
          <w:color w:val="000000" w:themeColor="text1"/>
          <w:sz w:val="36"/>
          <w:lang w:val="en-US" w:eastAsia="zh-CN"/>
          <w14:textFill>
            <w14:solidFill>
              <w14:schemeClr w14:val="tx1"/>
            </w14:solidFill>
          </w14:textFill>
        </w:rPr>
        <w:t>9</w:t>
      </w:r>
    </w:p>
    <w:p>
      <w:pPr>
        <w:jc w:val="center"/>
        <w:rPr>
          <w:rFonts w:ascii="宋体" w:hAnsi="宋体"/>
          <w:b/>
          <w:bCs/>
          <w:color w:val="000000" w:themeColor="text1"/>
          <w:sz w:val="28"/>
          <w:szCs w:val="28"/>
          <w14:textFill>
            <w14:solidFill>
              <w14:schemeClr w14:val="tx1"/>
            </w14:solidFill>
          </w14:textFill>
        </w:rPr>
      </w:pPr>
    </w:p>
    <w:p>
      <w:pPr>
        <w:jc w:val="center"/>
        <w:rPr>
          <w:rFonts w:ascii="宋体" w:hAnsi="宋体"/>
          <w:b/>
          <w:bCs/>
          <w:color w:val="000000" w:themeColor="text1"/>
          <w:sz w:val="28"/>
          <w:szCs w:val="28"/>
          <w14:textFill>
            <w14:solidFill>
              <w14:schemeClr w14:val="tx1"/>
            </w14:solidFill>
          </w14:textFill>
        </w:rPr>
      </w:pPr>
    </w:p>
    <w:p>
      <w:pPr>
        <w:jc w:val="center"/>
        <w:rPr>
          <w:rFonts w:ascii="宋体" w:hAnsi="宋体"/>
          <w:b/>
          <w:bCs/>
          <w:color w:val="000000" w:themeColor="text1"/>
          <w:sz w:val="28"/>
          <w:szCs w:val="28"/>
          <w14:textFill>
            <w14:solidFill>
              <w14:schemeClr w14:val="tx1"/>
            </w14:solidFill>
          </w14:textFill>
        </w:rPr>
      </w:pPr>
    </w:p>
    <w:p>
      <w:pPr>
        <w:jc w:val="center"/>
        <w:rPr>
          <w:rFonts w:ascii="宋体" w:hAnsi="宋体"/>
          <w:b/>
          <w:bCs/>
          <w:color w:val="000000" w:themeColor="text1"/>
          <w:sz w:val="28"/>
          <w:szCs w:val="28"/>
          <w14:textFill>
            <w14:solidFill>
              <w14:schemeClr w14:val="tx1"/>
            </w14:solidFill>
          </w14:textFill>
        </w:rPr>
      </w:pPr>
    </w:p>
    <w:p>
      <w:pPr>
        <w:jc w:val="center"/>
        <w:rPr>
          <w:rFonts w:eastAsia="隶书"/>
          <w:b/>
          <w:bCs/>
          <w:color w:val="000000" w:themeColor="text1"/>
          <w:sz w:val="44"/>
          <w14:textFill>
            <w14:solidFill>
              <w14:schemeClr w14:val="tx1"/>
            </w14:solidFill>
          </w14:textFill>
        </w:rPr>
      </w:pPr>
      <w:r>
        <w:rPr>
          <w:rFonts w:hint="eastAsia" w:eastAsia="隶书"/>
          <w:b/>
          <w:bCs/>
          <w:color w:val="000000" w:themeColor="text1"/>
          <w:sz w:val="44"/>
          <w14:textFill>
            <w14:solidFill>
              <w14:schemeClr w14:val="tx1"/>
            </w14:solidFill>
          </w14:textFill>
        </w:rPr>
        <w:t>嘉庚创新实验室资采室</w:t>
      </w:r>
    </w:p>
    <w:p>
      <w:pPr>
        <w:jc w:val="center"/>
        <w:rPr>
          <w:rFonts w:ascii="隶书" w:eastAsia="隶书"/>
          <w:b/>
          <w:bCs/>
          <w:color w:val="000000" w:themeColor="text1"/>
          <w:sz w:val="36"/>
          <w14:textFill>
            <w14:solidFill>
              <w14:schemeClr w14:val="tx1"/>
            </w14:solidFill>
          </w14:textFill>
        </w:rPr>
      </w:pPr>
      <w:r>
        <w:rPr>
          <w:rFonts w:ascii="隶书" w:eastAsia="隶书"/>
          <w:b/>
          <w:bCs/>
          <w:color w:val="000000" w:themeColor="text1"/>
          <w:sz w:val="36"/>
          <w14:textFill>
            <w14:solidFill>
              <w14:schemeClr w14:val="tx1"/>
            </w14:solidFill>
          </w14:textFill>
        </w:rPr>
        <w:t>20</w:t>
      </w:r>
      <w:r>
        <w:rPr>
          <w:rFonts w:hint="eastAsia" w:ascii="隶书" w:eastAsia="隶书"/>
          <w:b/>
          <w:bCs/>
          <w:color w:val="000000" w:themeColor="text1"/>
          <w:sz w:val="36"/>
          <w14:textFill>
            <w14:solidFill>
              <w14:schemeClr w14:val="tx1"/>
            </w14:solidFill>
          </w14:textFill>
        </w:rPr>
        <w:t>21年11月</w:t>
      </w:r>
      <w:r>
        <w:rPr>
          <w:rFonts w:hint="eastAsia" w:ascii="隶书" w:eastAsia="隶书"/>
          <w:b/>
          <w:bCs/>
          <w:color w:val="000000" w:themeColor="text1"/>
          <w:sz w:val="36"/>
          <w:lang w:val="en-US" w:eastAsia="zh-CN"/>
          <w14:textFill>
            <w14:solidFill>
              <w14:schemeClr w14:val="tx1"/>
            </w14:solidFill>
          </w14:textFill>
        </w:rPr>
        <w:t>22</w:t>
      </w:r>
      <w:r>
        <w:rPr>
          <w:rFonts w:hint="eastAsia" w:ascii="隶书" w:eastAsia="隶书"/>
          <w:b/>
          <w:bCs/>
          <w:color w:val="000000" w:themeColor="text1"/>
          <w:sz w:val="36"/>
          <w14:textFill>
            <w14:solidFill>
              <w14:schemeClr w14:val="tx1"/>
            </w14:solidFill>
          </w14:textFill>
        </w:rPr>
        <w:t>日</w:t>
      </w:r>
    </w:p>
    <w:p>
      <w:pPr>
        <w:spacing w:line="540" w:lineRule="exact"/>
        <w:jc w:val="center"/>
        <w:rPr>
          <w:rFonts w:ascii="宋体"/>
          <w:b/>
          <w:bCs/>
          <w:color w:val="000000" w:themeColor="text1"/>
          <w:sz w:val="28"/>
          <w:szCs w:val="28"/>
          <w14:textFill>
            <w14:solidFill>
              <w14:schemeClr w14:val="tx1"/>
            </w14:solidFill>
          </w14:textFill>
        </w:rPr>
      </w:pPr>
      <w:r>
        <w:rPr>
          <w:rFonts w:ascii="宋体"/>
          <w:b/>
          <w:bCs/>
          <w:color w:val="000000" w:themeColor="text1"/>
          <w:sz w:val="28"/>
          <w:szCs w:val="28"/>
          <w14:textFill>
            <w14:solidFill>
              <w14:schemeClr w14:val="tx1"/>
            </w14:solidFill>
          </w14:textFill>
        </w:rPr>
        <w:br w:type="page"/>
      </w:r>
      <w:r>
        <w:rPr>
          <w:rFonts w:hint="eastAsia"/>
          <w:b/>
          <w:bCs/>
          <w:color w:val="000000" w:themeColor="text1"/>
          <w:sz w:val="36"/>
          <w14:textFill>
            <w14:solidFill>
              <w14:schemeClr w14:val="tx1"/>
            </w14:solidFill>
          </w14:textFill>
        </w:rPr>
        <w:t>第一章  磋商邀请</w:t>
      </w:r>
    </w:p>
    <w:p>
      <w:pPr>
        <w:spacing w:line="360" w:lineRule="auto"/>
        <w:ind w:firstLine="560" w:firstLineChars="20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嘉庚创新实验室资采室</w:t>
      </w:r>
      <w:r>
        <w:rPr>
          <w:rFonts w:hint="eastAsia" w:ascii="宋体" w:hAnsi="宋体"/>
          <w:color w:val="000000" w:themeColor="text1"/>
          <w:sz w:val="28"/>
          <w:szCs w:val="28"/>
          <w14:textFill>
            <w14:solidFill>
              <w14:schemeClr w14:val="tx1"/>
            </w14:solidFill>
          </w14:textFill>
        </w:rPr>
        <w:t>受学校采购领导小组的委托，以磋商谈判形式就</w:t>
      </w:r>
      <w:r>
        <w:rPr>
          <w:rFonts w:hint="eastAsia" w:ascii="宋体" w:hAnsi="宋体"/>
          <w:color w:val="000000" w:themeColor="text1"/>
          <w:sz w:val="28"/>
          <w:szCs w:val="28"/>
          <w:u w:val="single"/>
          <w14:textFill>
            <w14:solidFill>
              <w14:schemeClr w14:val="tx1"/>
            </w14:solidFill>
          </w14:textFill>
        </w:rPr>
        <w:t>科研创新服务平台</w:t>
      </w:r>
      <w:r>
        <w:rPr>
          <w:rFonts w:hint="eastAsia" w:ascii="宋体" w:hAnsi="宋体"/>
          <w:color w:val="000000" w:themeColor="text1"/>
          <w:sz w:val="28"/>
          <w:szCs w:val="28"/>
          <w14:textFill>
            <w14:solidFill>
              <w14:schemeClr w14:val="tx1"/>
            </w14:solidFill>
          </w14:textFill>
        </w:rPr>
        <w:t>项目进行采购，欢迎具备相应资格条件的供应商参加磋商。</w:t>
      </w:r>
    </w:p>
    <w:p>
      <w:pPr>
        <w:numPr>
          <w:ilvl w:val="0"/>
          <w:numId w:val="1"/>
        </w:num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采购编号：JGYQ-2021TP-09</w:t>
      </w:r>
      <w:r>
        <w:rPr>
          <w:rFonts w:hint="eastAsia" w:ascii="宋体" w:hAnsi="宋体"/>
          <w:color w:val="000000" w:themeColor="text1"/>
          <w:sz w:val="28"/>
          <w:szCs w:val="28"/>
          <w:lang w:val="en-US" w:eastAsia="zh-CN"/>
          <w14:textFill>
            <w14:solidFill>
              <w14:schemeClr w14:val="tx1"/>
            </w14:solidFill>
          </w14:textFill>
        </w:rPr>
        <w:t>9</w:t>
      </w:r>
    </w:p>
    <w:p>
      <w:pPr>
        <w:numPr>
          <w:ilvl w:val="0"/>
          <w:numId w:val="1"/>
        </w:numPr>
        <w:spacing w:line="36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采购项目：嘉庚创新实验室科研创新服务平台</w:t>
      </w:r>
    </w:p>
    <w:p>
      <w:pPr>
        <w:numPr>
          <w:ilvl w:val="0"/>
          <w:numId w:val="1"/>
        </w:numPr>
        <w:spacing w:line="36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供货地点：厦门大学翔安校区</w:t>
      </w:r>
    </w:p>
    <w:p>
      <w:pPr>
        <w:numPr>
          <w:ilvl w:val="0"/>
          <w:numId w:val="1"/>
        </w:numPr>
        <w:spacing w:line="360" w:lineRule="auto"/>
        <w:rPr>
          <w:rFonts w:ascii="宋体"/>
          <w:b/>
          <w:color w:val="000000" w:themeColor="text1"/>
          <w:sz w:val="28"/>
          <w:szCs w:val="28"/>
          <w14:textFill>
            <w14:solidFill>
              <w14:schemeClr w14:val="tx1"/>
            </w14:solidFill>
          </w14:textFill>
        </w:rPr>
      </w:pPr>
      <w:r>
        <w:rPr>
          <w:rFonts w:hint="eastAsia" w:ascii="宋体"/>
          <w:b/>
          <w:color w:val="000000" w:themeColor="text1"/>
          <w:sz w:val="28"/>
          <w:szCs w:val="28"/>
          <w14:textFill>
            <w14:solidFill>
              <w14:schemeClr w14:val="tx1"/>
            </w14:solidFill>
          </w14:textFill>
        </w:rPr>
        <w:t>预算控制价：</w:t>
      </w:r>
      <w:r>
        <w:rPr>
          <w:b/>
          <w:color w:val="000000" w:themeColor="text1"/>
          <w:sz w:val="28"/>
          <w:szCs w:val="28"/>
          <w14:textFill>
            <w14:solidFill>
              <w14:schemeClr w14:val="tx1"/>
            </w14:solidFill>
          </w14:textFill>
        </w:rPr>
        <w:t>65</w:t>
      </w:r>
      <w:r>
        <w:rPr>
          <w:rFonts w:hint="eastAsia"/>
          <w:b/>
          <w:color w:val="000000" w:themeColor="text1"/>
          <w:sz w:val="28"/>
          <w:szCs w:val="28"/>
          <w14:textFill>
            <w14:solidFill>
              <w14:schemeClr w14:val="tx1"/>
            </w14:solidFill>
          </w14:textFill>
        </w:rPr>
        <w:t>万元</w:t>
      </w:r>
    </w:p>
    <w:p>
      <w:pPr>
        <w:numPr>
          <w:ilvl w:val="0"/>
          <w:numId w:val="1"/>
        </w:num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报价截止和磋商时间：</w:t>
      </w:r>
      <w:r>
        <w:rPr>
          <w:b/>
          <w:color w:val="000000" w:themeColor="text1"/>
          <w:sz w:val="28"/>
          <w:szCs w:val="28"/>
          <w14:textFill>
            <w14:solidFill>
              <w14:schemeClr w14:val="tx1"/>
            </w14:solidFill>
          </w14:textFill>
        </w:rPr>
        <w:t>20</w:t>
      </w:r>
      <w:r>
        <w:rPr>
          <w:rFonts w:hint="eastAsia"/>
          <w:b/>
          <w:color w:val="000000" w:themeColor="text1"/>
          <w:sz w:val="28"/>
          <w:szCs w:val="28"/>
          <w14:textFill>
            <w14:solidFill>
              <w14:schemeClr w14:val="tx1"/>
            </w14:solidFill>
          </w14:textFill>
        </w:rPr>
        <w:t>21年12月2日 上午9:30</w:t>
      </w:r>
    </w:p>
    <w:p>
      <w:pPr>
        <w:numPr>
          <w:ilvl w:val="0"/>
          <w:numId w:val="1"/>
        </w:numPr>
        <w:spacing w:line="36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磋商谈判文件发售（免费下载）及报名截至时间：报名以邮件进行报名（报名函加盖公司公章发送至指定邮箱，报名函格式见附件格式8）。</w:t>
      </w:r>
    </w:p>
    <w:p>
      <w:pPr>
        <w:numPr>
          <w:ilvl w:val="0"/>
          <w:numId w:val="1"/>
        </w:numPr>
        <w:spacing w:line="36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开标地点：厦门市思明南路</w:t>
      </w:r>
      <w:r>
        <w:rPr>
          <w:rFonts w:ascii="宋体" w:hAnsi="宋体"/>
          <w:color w:val="000000" w:themeColor="text1"/>
          <w:sz w:val="28"/>
          <w:szCs w:val="28"/>
          <w14:textFill>
            <w14:solidFill>
              <w14:schemeClr w14:val="tx1"/>
            </w14:solidFill>
          </w14:textFill>
        </w:rPr>
        <w:t>422</w:t>
      </w:r>
      <w:r>
        <w:rPr>
          <w:rFonts w:hint="eastAsia" w:ascii="宋体" w:hAnsi="宋体"/>
          <w:color w:val="000000" w:themeColor="text1"/>
          <w:sz w:val="28"/>
          <w:szCs w:val="28"/>
          <w14:textFill>
            <w14:solidFill>
              <w14:schemeClr w14:val="tx1"/>
            </w14:solidFill>
          </w14:textFill>
        </w:rPr>
        <w:t>号厦门大学颂恩楼615室</w:t>
      </w:r>
    </w:p>
    <w:p>
      <w:pPr>
        <w:numPr>
          <w:ilvl w:val="0"/>
          <w:numId w:val="1"/>
        </w:numPr>
        <w:spacing w:line="36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本批采购的咨询联系人</w:t>
      </w:r>
    </w:p>
    <w:p>
      <w:pPr>
        <w:tabs>
          <w:tab w:val="left" w:pos="720"/>
        </w:tabs>
        <w:spacing w:line="360" w:lineRule="auto"/>
        <w:ind w:left="72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技术需求方面请联系用户单位：余老师15659980273</w:t>
      </w:r>
    </w:p>
    <w:p>
      <w:pPr>
        <w:spacing w:line="360" w:lineRule="auto"/>
        <w:ind w:left="72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磋商报名等方面请联系：贺老师</w:t>
      </w:r>
    </w:p>
    <w:p>
      <w:pPr>
        <w:pStyle w:val="29"/>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电话：0592-2882502</w:t>
      </w:r>
    </w:p>
    <w:p>
      <w:pPr>
        <w:pStyle w:val="29"/>
        <w:spacing w:line="360" w:lineRule="auto"/>
        <w:ind w:firstLine="560"/>
        <w:rPr>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邮箱：</w:t>
      </w:r>
      <w:r>
        <w:rPr>
          <w:rFonts w:hint="eastAsia"/>
          <w:color w:val="000000" w:themeColor="text1"/>
          <w:sz w:val="28"/>
          <w:szCs w:val="28"/>
          <w14:textFill>
            <w14:solidFill>
              <w14:schemeClr w14:val="tx1"/>
            </w14:solidFill>
          </w14:textFill>
        </w:rPr>
        <w:t>zyhe</w:t>
      </w:r>
      <w:r>
        <w:rPr>
          <w:color w:val="000000" w:themeColor="text1"/>
          <w:sz w:val="28"/>
          <w:szCs w:val="28"/>
          <w14:textFill>
            <w14:solidFill>
              <w14:schemeClr w14:val="tx1"/>
            </w14:solidFill>
          </w14:textFill>
        </w:rPr>
        <w:t>@xmu.edu.cn</w:t>
      </w:r>
    </w:p>
    <w:p>
      <w:pPr>
        <w:pStyle w:val="29"/>
        <w:spacing w:line="360" w:lineRule="auto"/>
        <w:ind w:firstLine="560"/>
        <w:rPr>
          <w:rFonts w:ascii="宋体" w:hAnsi="宋体" w:cs="宋体"/>
          <w:color w:val="000000" w:themeColor="text1"/>
          <w:sz w:val="28"/>
          <w:szCs w:val="28"/>
          <w14:textFill>
            <w14:solidFill>
              <w14:schemeClr w14:val="tx1"/>
            </w14:solidFill>
          </w14:textFill>
        </w:rPr>
      </w:pPr>
    </w:p>
    <w:p>
      <w:pPr>
        <w:spacing w:line="360" w:lineRule="auto"/>
        <w:ind w:left="72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嘉庚创新实验室资采室</w:t>
      </w:r>
    </w:p>
    <w:p>
      <w:pPr>
        <w:spacing w:line="360" w:lineRule="auto"/>
        <w:ind w:left="720"/>
        <w:rPr>
          <w:rFonts w:asci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p>
    <w:p>
      <w:pPr>
        <w:ind w:firstLine="640" w:firstLineChars="200"/>
        <w:jc w:val="center"/>
        <w:rPr>
          <w:rFonts w:ascii="黑体" w:hAnsi="黑体" w:eastAsia="黑体"/>
          <w:color w:val="000000" w:themeColor="text1"/>
          <w:sz w:val="32"/>
          <w:szCs w:val="32"/>
          <w14:textFill>
            <w14:solidFill>
              <w14:schemeClr w14:val="tx1"/>
            </w14:solidFill>
          </w14:textFill>
        </w:rPr>
      </w:pPr>
    </w:p>
    <w:p>
      <w:pPr>
        <w:ind w:firstLine="640" w:firstLineChars="200"/>
        <w:jc w:val="center"/>
        <w:rPr>
          <w:color w:val="000000" w:themeColor="text1"/>
          <w:sz w:val="28"/>
          <w:szCs w:val="28"/>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投标人须知前附表</w:t>
      </w:r>
    </w:p>
    <w:tbl>
      <w:tblPr>
        <w:tblStyle w:val="1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415"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6147"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415" w:type="dxa"/>
            <w:vAlign w:val="center"/>
          </w:tcPr>
          <w:p>
            <w:pPr>
              <w:pStyle w:val="51"/>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项目名称</w:t>
            </w:r>
          </w:p>
        </w:tc>
        <w:tc>
          <w:tcPr>
            <w:tcW w:w="6147" w:type="dxa"/>
            <w:vAlign w:val="center"/>
          </w:tcPr>
          <w:p>
            <w:pPr>
              <w:pStyle w:val="51"/>
              <w:spacing w:before="156" w:beforeLines="50" w:after="156" w:afterLines="50"/>
              <w:rPr>
                <w:rFonts w:ascii="宋体" w:hAnsi="宋体" w:eastAsia="宋体"/>
                <w:color w:val="000000" w:themeColor="text1"/>
                <w:sz w:val="21"/>
                <w:szCs w:val="28"/>
                <w14:textFill>
                  <w14:solidFill>
                    <w14:schemeClr w14:val="tx1"/>
                  </w14:solidFill>
                </w14:textFill>
              </w:rPr>
            </w:pPr>
            <w:r>
              <w:rPr>
                <w:rFonts w:hint="eastAsia" w:ascii="宋体" w:hAnsi="宋体" w:eastAsia="宋体"/>
                <w:color w:val="000000" w:themeColor="text1"/>
                <w:sz w:val="21"/>
                <w:szCs w:val="28"/>
                <w14:textFill>
                  <w14:solidFill>
                    <w14:schemeClr w14:val="tx1"/>
                  </w14:solidFill>
                </w14:textFill>
              </w:rPr>
              <w:t>嘉庚创新实验室科研创新服务平台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415"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代理商应提交资料</w:t>
            </w:r>
          </w:p>
        </w:tc>
        <w:tc>
          <w:tcPr>
            <w:tcW w:w="6147" w:type="dxa"/>
            <w:vAlign w:val="center"/>
          </w:tcPr>
          <w:p>
            <w:pPr>
              <w:pStyle w:val="52"/>
              <w:spacing w:before="156" w:beforeLines="50" w:after="156" w:afterLines="50"/>
              <w:ind w:left="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★进口货物供应商必须提供生产厂家的授权经销代理证书的有效复印件（原件备查）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415"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6147" w:type="dxa"/>
            <w:vAlign w:val="center"/>
          </w:tcPr>
          <w:p>
            <w:pPr>
              <w:pStyle w:val="9"/>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415" w:type="dxa"/>
            <w:vAlign w:val="center"/>
          </w:tcPr>
          <w:p>
            <w:pPr>
              <w:rPr>
                <w:rFonts w:ascii="宋体" w:hAnsi="宋体"/>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资格性要求</w:t>
            </w:r>
          </w:p>
        </w:tc>
        <w:tc>
          <w:tcPr>
            <w:tcW w:w="6147" w:type="dxa"/>
            <w:vAlign w:val="center"/>
          </w:tcPr>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1.★投标书；</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2.★法定代表人授权委托书；</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3.★营业执照副本复印件，并加盖投标人公章；</w:t>
            </w:r>
          </w:p>
          <w:p>
            <w:pPr>
              <w:pStyle w:val="9"/>
              <w:tabs>
                <w:tab w:val="left" w:pos="660"/>
              </w:tabs>
              <w:ind w:left="210" w:hanging="210" w:hangingChars="1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4.★参加政府采购活动前3年内（开业不足三年的，自开业以来）在经营活动中没有重大违法记录的书面声明；</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5.★廉政承诺书</w:t>
            </w:r>
          </w:p>
          <w:p>
            <w:pPr>
              <w:pStyle w:val="9"/>
              <w:tabs>
                <w:tab w:val="left" w:pos="660"/>
              </w:tabs>
              <w:ind w:left="210" w:hanging="210" w:hangingChars="1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6.★采购人将通过“信用中国”网站（www.creditchina.gov.cn）和中国政府采购网（www.ccgp.gov.cn/search/cr/）获取的投标人的信用信息查询结果，查询时间截止开标当日。对信用信息查询结果中存在参加本采购活动前3年内在经营活动中有重大违法记录的供应商，其投标无效。（“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pStyle w:val="9"/>
              <w:tabs>
                <w:tab w:val="left" w:pos="660"/>
              </w:tabs>
              <w:ind w:firstLine="211" w:firstLineChars="100"/>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以上缺少任何一项，将无法通过资格性审查被视为无效投标。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415"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报价人应提交的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技术文件</w:t>
            </w:r>
          </w:p>
        </w:tc>
        <w:tc>
          <w:tcPr>
            <w:tcW w:w="6147" w:type="dxa"/>
            <w:vAlign w:val="center"/>
          </w:tcPr>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 xml:space="preserve">1.报价一览表； </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2.报价货物简要说明一览表；</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3.报价货物技术偏离表；</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4.勘察报告</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5.技术方案；</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6.实施方案（含项目实施进度计划表）；</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7.验收方案；</w:t>
            </w:r>
          </w:p>
          <w:p>
            <w:pPr>
              <w:pStyle w:val="9"/>
              <w:tabs>
                <w:tab w:val="left" w:pos="660"/>
              </w:tabs>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8.培训及售后服务方案；</w:t>
            </w:r>
          </w:p>
          <w:p>
            <w:pPr>
              <w:pStyle w:val="9"/>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9.报价人认为需要提供的其它说明和资料。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6</w:t>
            </w:r>
          </w:p>
        </w:tc>
        <w:tc>
          <w:tcPr>
            <w:tcW w:w="2415" w:type="dxa"/>
            <w:vAlign w:val="center"/>
          </w:tcPr>
          <w:p>
            <w:pP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报价人自行编写的</w:t>
            </w:r>
          </w:p>
          <w:p>
            <w:pPr>
              <w:rPr>
                <w:rFonts w:ascii="宋体" w:hAnsi="宋体"/>
                <w:bCs/>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技术文件</w:t>
            </w:r>
          </w:p>
        </w:tc>
        <w:tc>
          <w:tcPr>
            <w:tcW w:w="6147" w:type="dxa"/>
            <w:vAlign w:val="center"/>
          </w:tcPr>
          <w:p>
            <w:pPr>
              <w:pStyle w:val="9"/>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应包括但不仅限于以下内容：</w:t>
            </w:r>
          </w:p>
          <w:p>
            <w:pPr>
              <w:pStyle w:val="9"/>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1）报价设备数量、配置说明；</w:t>
            </w:r>
          </w:p>
          <w:p>
            <w:pPr>
              <w:pStyle w:val="9"/>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2）技术响应方案；</w:t>
            </w:r>
          </w:p>
          <w:p>
            <w:pPr>
              <w:pStyle w:val="9"/>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3）技术参数应答；</w:t>
            </w:r>
          </w:p>
          <w:p>
            <w:pPr>
              <w:pStyle w:val="9"/>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4）公开发行的报价产品彩页或产品技术参数说明；</w:t>
            </w:r>
          </w:p>
          <w:p>
            <w:pPr>
              <w:pStyle w:val="9"/>
              <w:rPr>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415"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报价文件份数</w:t>
            </w:r>
          </w:p>
        </w:tc>
        <w:tc>
          <w:tcPr>
            <w:tcW w:w="6147" w:type="dxa"/>
            <w:vAlign w:val="center"/>
          </w:tcPr>
          <w:p>
            <w:pPr>
              <w:pStyle w:val="52"/>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8"/>
                <w14:textFill>
                  <w14:solidFill>
                    <w14:schemeClr w14:val="tx1"/>
                  </w14:solidFill>
                </w14:textFill>
              </w:rPr>
              <w:t>磋商报价文件一式4份（其中正本1份，副本3份）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415"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其他要求</w:t>
            </w:r>
          </w:p>
        </w:tc>
        <w:tc>
          <w:tcPr>
            <w:tcW w:w="6147" w:type="dxa"/>
            <w:vAlign w:val="center"/>
          </w:tcPr>
          <w:p>
            <w:pPr>
              <w:pStyle w:val="52"/>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详见报价文件要求</w:t>
            </w:r>
          </w:p>
        </w:tc>
      </w:tr>
    </w:tbl>
    <w:p>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br w:type="page"/>
      </w:r>
    </w:p>
    <w:p>
      <w:pPr>
        <w:jc w:val="center"/>
        <w:rPr>
          <w:b/>
          <w:bCs/>
          <w:color w:val="000000" w:themeColor="text1"/>
          <w:sz w:val="32"/>
          <w:szCs w:val="32"/>
          <w14:textFill>
            <w14:solidFill>
              <w14:schemeClr w14:val="tx1"/>
            </w14:solidFill>
          </w14:textFill>
        </w:rPr>
        <w:sectPr>
          <w:headerReference r:id="rId3" w:type="default"/>
          <w:headerReference r:id="rId4" w:type="even"/>
          <w:pgSz w:w="11906" w:h="16838"/>
          <w:pgMar w:top="1440" w:right="1701" w:bottom="1440" w:left="1701" w:header="851" w:footer="992" w:gutter="0"/>
          <w:cols w:space="425" w:num="1"/>
          <w:docGrid w:type="lines" w:linePitch="312" w:charSpace="0"/>
        </w:sectPr>
      </w:pPr>
    </w:p>
    <w:p>
      <w:pPr>
        <w:jc w:val="center"/>
        <w:rPr>
          <w:b/>
          <w:bCs/>
          <w:color w:val="000000" w:themeColor="text1"/>
          <w:sz w:val="36"/>
          <w14:textFill>
            <w14:solidFill>
              <w14:schemeClr w14:val="tx1"/>
            </w14:solidFill>
          </w14:textFill>
        </w:rPr>
      </w:pPr>
      <w:r>
        <w:rPr>
          <w:rFonts w:hint="eastAsia"/>
          <w:b/>
          <w:bCs/>
          <w:color w:val="000000" w:themeColor="text1"/>
          <w:sz w:val="36"/>
          <w14:textFill>
            <w14:solidFill>
              <w14:schemeClr w14:val="tx1"/>
            </w14:solidFill>
          </w14:textFill>
        </w:rPr>
        <w:t>第二章</w:t>
      </w:r>
      <w:r>
        <w:rPr>
          <w:b/>
          <w:bCs/>
          <w:color w:val="000000" w:themeColor="text1"/>
          <w:sz w:val="36"/>
          <w14:textFill>
            <w14:solidFill>
              <w14:schemeClr w14:val="tx1"/>
            </w14:solidFill>
          </w14:textFill>
        </w:rPr>
        <w:t xml:space="preserve">  </w:t>
      </w:r>
      <w:r>
        <w:rPr>
          <w:rFonts w:hint="eastAsia"/>
          <w:b/>
          <w:bCs/>
          <w:color w:val="000000" w:themeColor="text1"/>
          <w:sz w:val="36"/>
          <w14:textFill>
            <w14:solidFill>
              <w14:schemeClr w14:val="tx1"/>
            </w14:solidFill>
          </w14:textFill>
        </w:rPr>
        <w:t>采购项目说明及要求</w:t>
      </w:r>
    </w:p>
    <w:p>
      <w:pPr>
        <w:pStyle w:val="27"/>
        <w:numPr>
          <w:ilvl w:val="0"/>
          <w:numId w:val="2"/>
        </w:numPr>
        <w:spacing w:line="360" w:lineRule="auto"/>
        <w:ind w:firstLineChars="0"/>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采购项目要求一览表：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50"/>
        <w:gridCol w:w="10540"/>
        <w:gridCol w:w="423"/>
        <w:gridCol w:w="567"/>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8"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序号</w:t>
            </w:r>
          </w:p>
        </w:tc>
        <w:tc>
          <w:tcPr>
            <w:tcW w:w="335"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货物名称</w:t>
            </w:r>
          </w:p>
        </w:tc>
        <w:tc>
          <w:tcPr>
            <w:tcW w:w="3717"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主要技术参数</w:t>
            </w:r>
          </w:p>
        </w:tc>
        <w:tc>
          <w:tcPr>
            <w:tcW w:w="149"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单位</w:t>
            </w:r>
          </w:p>
        </w:tc>
        <w:tc>
          <w:tcPr>
            <w:tcW w:w="200"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数量</w:t>
            </w:r>
          </w:p>
        </w:tc>
        <w:tc>
          <w:tcPr>
            <w:tcW w:w="360" w:type="pct"/>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备注（参考品牌型号）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8"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p>
        </w:tc>
        <w:tc>
          <w:tcPr>
            <w:tcW w:w="335"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科研创新服务平台</w:t>
            </w:r>
          </w:p>
        </w:tc>
        <w:tc>
          <w:tcPr>
            <w:tcW w:w="3717" w:type="pct"/>
            <w:shd w:val="clear" w:color="auto" w:fill="FFFFFF" w:themeFill="background1"/>
            <w:vAlign w:val="center"/>
          </w:tcPr>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（一）技术要求</w:t>
            </w:r>
          </w:p>
          <w:p>
            <w:pPr>
              <w:pStyle w:val="41"/>
              <w:ind w:firstLineChars="0"/>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1</w:t>
            </w:r>
            <w:r>
              <w:rPr>
                <w:rFonts w:asciiTheme="minorEastAsia" w:hAnsiTheme="minorEastAsia" w:eastAsiaTheme="minorEastAsia"/>
                <w:b/>
                <w:bC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b/>
                <w:bCs/>
                <w:color w:val="000000" w:themeColor="text1"/>
                <w14:textFill>
                  <w14:solidFill>
                    <w14:schemeClr w14:val="tx1"/>
                  </w14:solidFill>
                </w14:textFill>
              </w:rPr>
              <w:t>★科研首页</w:t>
            </w:r>
          </w:p>
          <w:p>
            <w:pPr>
              <w:pStyle w:val="41"/>
              <w:ind w:firstLine="480"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为各类用户（科研管理部门、科研管理专员、分管领导、责任专家、科研秘书、科研人员、知识产权专员、设备专员以及产业专员等）提供专属登录场景首页，包含通知公告、今日待办、快捷通道、科研统计（项目、经费、进展、成果等）等内容。</w:t>
            </w:r>
          </w:p>
          <w:p>
            <w:pPr>
              <w:pStyle w:val="41"/>
              <w:ind w:firstLine="480"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项目信息包括项目名称、研究方向、依托单位、立项时间、主管部门、验收时间、分管领导和责任专家（组）、所属项目群、项目成员、项目简介以及项目进展等信息。</w:t>
            </w:r>
          </w:p>
          <w:p>
            <w:pPr>
              <w:pStyle w:val="30"/>
              <w:rPr>
                <w:rFonts w:asciiTheme="minorEastAsia" w:hAnsiTheme="minorEastAsia" w:eastAsiaTheme="minorEastAsia"/>
                <w:color w:val="000000" w:themeColor="text1"/>
                <w:szCs w:val="21"/>
                <w14:textFill>
                  <w14:solidFill>
                    <w14:schemeClr w14:val="tx1"/>
                  </w14:solidFill>
                </w14:textFill>
              </w:rPr>
            </w:pPr>
          </w:p>
          <w:p>
            <w:pPr>
              <w:pStyle w:val="41"/>
              <w:ind w:firstLineChars="0"/>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2</w:t>
            </w:r>
            <w:r>
              <w:rPr>
                <w:rFonts w:asciiTheme="minorEastAsia" w:hAnsiTheme="minorEastAsia" w:eastAsiaTheme="minorEastAsia"/>
                <w:b/>
                <w:bCs/>
                <w:color w:val="000000" w:themeColor="text1"/>
                <w14:textFill>
                  <w14:solidFill>
                    <w14:schemeClr w14:val="tx1"/>
                  </w14:solidFill>
                </w14:textFill>
              </w:rPr>
              <w:t>.</w:t>
            </w:r>
            <w:r>
              <w:rPr>
                <w:rFonts w:hint="eastAsia" w:asciiTheme="minorEastAsia" w:hAnsiTheme="minorEastAsia" w:eastAsiaTheme="minorEastAsia"/>
                <w:b/>
                <w:bCs/>
                <w:color w:val="000000" w:themeColor="text1"/>
                <w14:textFill>
                  <w14:solidFill>
                    <w14:schemeClr w14:val="tx1"/>
                  </w14:solidFill>
                </w14:textFill>
              </w:rPr>
              <w:t>项目管理</w:t>
            </w:r>
          </w:p>
          <w:p>
            <w:pPr>
              <w:pStyle w:val="30"/>
              <w:numPr>
                <w:ilvl w:val="0"/>
                <w:numId w:val="3"/>
              </w:numPr>
              <w:ind w:firstLineChars="0"/>
              <w:rPr>
                <w:rFonts w:asciiTheme="minorEastAsia" w:hAnsiTheme="minorEastAsia" w:eastAsiaTheme="minorEastAsia"/>
                <w:vanish/>
                <w:color w:val="000000" w:themeColor="text1"/>
                <w:szCs w:val="21"/>
                <w14:textFill>
                  <w14:solidFill>
                    <w14:schemeClr w14:val="tx1"/>
                  </w14:solidFill>
                </w14:textFill>
              </w:rPr>
            </w:pPr>
          </w:p>
          <w:p>
            <w:pPr>
              <w:pStyle w:val="30"/>
              <w:numPr>
                <w:ilvl w:val="0"/>
                <w:numId w:val="3"/>
              </w:numPr>
              <w:ind w:firstLineChars="0"/>
              <w:rPr>
                <w:rFonts w:asciiTheme="minorEastAsia" w:hAnsiTheme="minorEastAsia" w:eastAsiaTheme="minorEastAsia"/>
                <w:vanish/>
                <w:color w:val="000000" w:themeColor="text1"/>
                <w:szCs w:val="21"/>
                <w14:textFill>
                  <w14:solidFill>
                    <w14:schemeClr w14:val="tx1"/>
                  </w14:solidFill>
                </w14:textFill>
              </w:rPr>
            </w:pPr>
          </w:p>
          <w:p>
            <w:pPr>
              <w:pStyle w:val="41"/>
              <w:numPr>
                <w:ilvl w:val="1"/>
                <w:numId w:val="3"/>
              </w:numPr>
              <w:ind w:firstLineChars="0"/>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自主项目</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实现对自主项目进行分级分类管理，包括申报管理、形式审查、立项登记、评审管理、立项管理、重大事项变更、进展管理、验收结项管理，提供增、删、改、查、审、Excel数据批量导入导出以及统计分析功能：</w:t>
            </w:r>
          </w:p>
          <w:p>
            <w:pPr>
              <w:pStyle w:val="41"/>
              <w:rPr>
                <w:rFonts w:cs="仿宋"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14:textFill>
                  <w14:solidFill>
                    <w14:schemeClr w14:val="tx1"/>
                  </w14:solidFill>
                </w14:textFill>
              </w:rPr>
              <w:t>对于项目数据库，系统提供审核、查询、导入、导出、统计报表等功能；</w:t>
            </w:r>
          </w:p>
          <w:p>
            <w:pPr>
              <w:adjustRightInd w:val="0"/>
              <w:snapToGri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可建立项目分类结构树，配置各类项目分类及其编号规则。</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申报管理：基于项目申报方案，服务于自主项目申报工作，包括申报计划编制、申报条件设定、申报信息登记、申报材料提交和审核等。可定制申报书模板，由系统自动合成PDF格式申报书全文，支持PDF格式申报书全文网上浏览，支持带水印或者二维码打印。</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形式审查：系统可设定形式审查条件，对项目负责人年龄、职称、项目承担情况、成果发表情况等条件自动进行形式审查和判断，科研管理人员对项目项目以及核查与修改，知识产权专员提供知识产权分析意见，设备专员提供设备采购意见，产业专员提供产业分析意见，财务专员提供项目经费预算意见。</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相似性检索：系统可根据申报数据和历史数据，进行简单的相似性检索，检索相似的项目，提供给科研管理人员查看。</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申报项目查看：科研管理人员可查看、审核和统计各批次申报计划所提交的申报项目材料，可查看申报人已负责或者参与的历史项目信息。</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历史申报查看：科研管理人员可查看、查询历史批次的申报材料。</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评审管理：包括同意进入评审环节的凭证提供、评审方案制定，评审专家指派，评审计划发布，专家网上评审，评审过程跟踪，评审结果汇总以及统计分析等功能。评审方案编辑：科研管理人员可制定和发布各类项目评审方案，包括评分指标和打分标准，作为专家评审打分的依据。评审计划发布：科研管理人员可制定各类项目评审计划，包括评审计划名称、评审方案、评审计划状态、开始日期、结束日期以及评审指南等信息。评审项目分配：科研管理人员可在线为各申报项目分配评审专家。系统提供专家分组和遴选功能。系统可对接短信、邮件或者微信服务号，实时向评审专家推送评审通知。专家在线评审：专家接到评审通知，登录系统后，可在线浏览项目申报材料，进行评审打分，填写评审意见。评审结果统计：科研管理人员可在线查看各项目评审进度，汇总评审意见。可根据评审意见对项目进行立项操作。</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立项管理：项目立项登记，包括项目基本信息、成员信息、预算信息、项目文档、年度任务及考核指标以及监理意见，提供增、删、改、查、审、Excel导入导出以及统计分析功能，由系统自动合成PDF格式任务书全文，支持PDF格式任务书全文网上浏览，支持带水印或者二维码打印，支持盖章后任务书以及补充协议作为附件导入系统，提供项目任务和预算追加功能，科研人员在线登记追加信息，审核通过后，系统自动将本次追加的任务和预算累加到项目总任务和预算上。</w:t>
            </w:r>
          </w:p>
          <w:p>
            <w:pPr>
              <w:pStyle w:val="30"/>
              <w:rPr>
                <w:color w:val="000000" w:themeColor="text1"/>
                <w14:textFill>
                  <w14:solidFill>
                    <w14:schemeClr w14:val="tx1"/>
                  </w14:solidFill>
                </w14:textFill>
              </w:rPr>
            </w:pP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变更管理：在项目执行过程中，可对项目变更进行控制。项目负责人可提交项目成员、经费预算、重大事项（目标、研发内容、指标、延期、中止）等项目变更申请，并上传变更证明材料附件，科研管理人员对变更申请审查，经审批通过后，变更信息正式备案。</w:t>
            </w:r>
          </w:p>
          <w:p>
            <w:pPr>
              <w:pStyle w:val="41"/>
              <w:ind w:left="840" w:firstLine="0"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各类项目变更业务报表和流程根据嘉庚创新实验室相关项目管理办法定制。</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进展管理：项目负责人提交项目季报、年报，随时登记项目进展及成果，责任专家（组）及分管领导可提供审核意见；系统可项目任务进展和经费进度进行图表化分析，并对项目进度不同阶段进行相应标识，支持导入任务补充协议；</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阶段检查：在项目执行过程中，科研管理人员如果需要对某类项目阶段完成情况进行检查，可在线发布阶段检查通知，针对不同类别项目设置不同的检查日期范围，系统根据已设置的日期自动向项目负责人发送阶段检查提醒和预警信息，项目负责人收到阶段检查通知后，可在线上传和提交项目主管部门要求的阶段检查检查材料，科研管理人员可指派专家评审，登记评审意见，确认资助方案。</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结项管理：科研管理人员可对项目结项情况进行管理，可针对不同类别项目设置不同的可结项日期范围，系统根据已设置的日期自动向项目负责人推送结项提醒，项目负责人上传和提交结项材料、登记项目成果以及电子归档等，经科研管理人员审核通过后完成结项备案。科研管理人员可指派专家评审，登记评审意见。项目结项后，可进行后续经费结转业务办理，支持自动生成结题报告导出和导入。</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各类项目结题业务报表和流程根据嘉庚创新实验室相关项目管理办法定制。</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▲项目衍生成果登记及报表分析，按嘉庚创新实验室需求定制报表分析，如可按面向生产的技术成果、核心技术突破等分类制定报告分析；</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系统可针对项目数据快速生成相关统计报表支持项目数据Excel批量导入导出，可选择统计报表的行标题和列标题，按类别、申报进展、评审进展、项目进度、指标完成情况、成果产生、数量、批准经费、配套经费、外拨经费等参数进行统计，可自动生成柱图、饼图和线图，提供统计报表数据导出功能。</w:t>
            </w:r>
          </w:p>
          <w:p>
            <w:pPr>
              <w:pStyle w:val="41"/>
              <w:numPr>
                <w:ilvl w:val="0"/>
                <w:numId w:val="4"/>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模块授权 项目负责人可将所负责项目授权给他人管理，可以授权所有项目，可授权单个项目。被授权人登录系统后，可在线办理被授权的项目相关业务，如项目变更、经费认领等。</w:t>
            </w:r>
          </w:p>
          <w:p>
            <w:pPr>
              <w:pStyle w:val="30"/>
              <w:rPr>
                <w:color w:val="000000" w:themeColor="text1"/>
                <w14:textFill>
                  <w14:solidFill>
                    <w14:schemeClr w14:val="tx1"/>
                  </w14:solidFill>
                </w14:textFill>
              </w:rPr>
            </w:pPr>
          </w:p>
          <w:p>
            <w:pPr>
              <w:pStyle w:val="30"/>
              <w:rPr>
                <w:rFonts w:asciiTheme="minorEastAsia" w:hAnsiTheme="minorEastAsia" w:eastAsiaTheme="minorEastAsia"/>
                <w:color w:val="000000" w:themeColor="text1"/>
                <w:szCs w:val="21"/>
                <w14:textFill>
                  <w14:solidFill>
                    <w14:schemeClr w14:val="tx1"/>
                  </w14:solidFill>
                </w14:textFill>
              </w:rPr>
            </w:pPr>
          </w:p>
          <w:p>
            <w:pPr>
              <w:pStyle w:val="41"/>
              <w:ind w:firstLineChars="0"/>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2</w:t>
            </w:r>
            <w:r>
              <w:rPr>
                <w:rFonts w:asciiTheme="minorEastAsia" w:hAnsiTheme="minorEastAsia" w:eastAsiaTheme="minorEastAsia"/>
                <w:b/>
                <w:bCs/>
                <w:color w:val="000000" w:themeColor="text1"/>
                <w14:textFill>
                  <w14:solidFill>
                    <w14:schemeClr w14:val="tx1"/>
                  </w14:solidFill>
                </w14:textFill>
              </w:rPr>
              <w:t>.2</w:t>
            </w:r>
            <w:r>
              <w:rPr>
                <w:rFonts w:hint="eastAsia" w:asciiTheme="minorEastAsia" w:hAnsiTheme="minorEastAsia" w:eastAsiaTheme="minorEastAsia"/>
                <w:b/>
                <w:bCs/>
                <w:color w:val="000000" w:themeColor="text1"/>
                <w14:textFill>
                  <w14:solidFill>
                    <w14:schemeClr w14:val="tx1"/>
                  </w14:solidFill>
                </w14:textFill>
              </w:rPr>
              <w:t>纵向项目</w:t>
            </w:r>
          </w:p>
          <w:p>
            <w:pPr>
              <w:pStyle w:val="41"/>
              <w:numPr>
                <w:ilvl w:val="0"/>
                <w:numId w:val="5"/>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★实现各级各类纵向项目精细化、差异化管理，包括立项登记、中检变更、验收结项管理，提供增、删、改、查、审、Excel数据批量导入导出以及统计分析功能：</w:t>
            </w:r>
          </w:p>
          <w:p>
            <w:pPr>
              <w:pStyle w:val="41"/>
              <w:numPr>
                <w:ilvl w:val="0"/>
                <w:numId w:val="5"/>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★立项管理：项目基本信息、成员信息、预算信息（批复、配套、外拨）、合作单位等信息管理以及项目文档管理；支持项目立项信息 Excel数据批量导入，系统支持直接从 Excel 批量导入数据的功能。管理员按照指定的Excel模板整理好项目数据，系统能够一次性导入，可对导入数据完整性和有效性进行校验；支持国家自然科学基金项目PDF计划书批量解析导入，实现项目基本信息、成员信息、预算信息解析获取。</w:t>
            </w:r>
          </w:p>
          <w:p>
            <w:pPr>
              <w:pStyle w:val="41"/>
              <w:numPr>
                <w:ilvl w:val="0"/>
                <w:numId w:val="5"/>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▲变更管理：项目委托、预算、成员、延期、中止等变更提交、审核和备案；提供项目预算追加功能，项目负责人在线登记追加信息，审核通过后，系统自动将本次追加的预算累加到项目总预算上。</w:t>
            </w:r>
          </w:p>
          <w:p>
            <w:pPr>
              <w:pStyle w:val="41"/>
              <w:numPr>
                <w:ilvl w:val="0"/>
                <w:numId w:val="5"/>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中检管理：项目中期检查要求设置，中期检查材料提交、审核；</w:t>
            </w:r>
          </w:p>
          <w:p>
            <w:pPr>
              <w:pStyle w:val="41"/>
              <w:numPr>
                <w:ilvl w:val="0"/>
                <w:numId w:val="5"/>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★结项管理：项目验收前置提醒，结项材料及成果提交、审核、电子归档等；项目结项后，可进行后续经费结转业务办理。</w:t>
            </w:r>
          </w:p>
          <w:p>
            <w:pPr>
              <w:pStyle w:val="41"/>
              <w:numPr>
                <w:ilvl w:val="0"/>
                <w:numId w:val="5"/>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▲分类管理：可建立项目分类结构树，配置各类项目级别、预算标准、经费建卡模式、预算拆分规则、费用提取方案及其编号规则。</w:t>
            </w:r>
          </w:p>
          <w:p>
            <w:pPr>
              <w:pStyle w:val="30"/>
              <w:numPr>
                <w:ilvl w:val="0"/>
                <w:numId w:val="5"/>
              </w:numPr>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模块授权：项目负责人可将所负责项目授权给他人管理，可以授权所有项目，可授权单个项目。被授权人登录系统后，可在线办理被授权的项目相关业务，如项目变更、经费认领等。</w:t>
            </w:r>
          </w:p>
          <w:p>
            <w:pPr>
              <w:pStyle w:val="30"/>
              <w:numPr>
                <w:ilvl w:val="0"/>
                <w:numId w:val="5"/>
              </w:numPr>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Excel数据导出：针对项目列表查询结果，系统提供导出功能，可选择需导出的信息字段，调整信息字段顺序，实现Excel数据快速导出。</w:t>
            </w:r>
          </w:p>
          <w:p>
            <w:pPr>
              <w:pStyle w:val="30"/>
              <w:numPr>
                <w:ilvl w:val="0"/>
                <w:numId w:val="5"/>
              </w:numPr>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统计报表：系统可针对项目数据快速生成相关统计报表，可选择统计报表的行标题和列标题，按数量、批准经费、配套经费、外拨经费等参数进行统计，可自动生成柱图、饼图和线图，提供统计报表数据导出功能。</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2.3</w:t>
            </w:r>
            <w:r>
              <w:rPr>
                <w:rFonts w:hint="eastAsia" w:asciiTheme="minorEastAsia" w:hAnsiTheme="minorEastAsia" w:eastAsiaTheme="minorEastAsia"/>
                <w:b/>
                <w:bCs/>
                <w:color w:val="000000" w:themeColor="text1"/>
                <w14:textFill>
                  <w14:solidFill>
                    <w14:schemeClr w14:val="tx1"/>
                  </w14:solidFill>
                </w14:textFill>
              </w:rPr>
              <w:t>战略合作</w:t>
            </w:r>
          </w:p>
          <w:p>
            <w:pPr>
              <w:pStyle w:val="41"/>
              <w:numPr>
                <w:ilvl w:val="0"/>
                <w:numId w:val="6"/>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★进账合同备案管理：合同登记备案，提供合同增、删、改、查、审、Excel导入导出以及统计分析功能；</w:t>
            </w:r>
          </w:p>
          <w:p>
            <w:pPr>
              <w:pStyle w:val="41"/>
              <w:numPr>
                <w:ilvl w:val="0"/>
                <w:numId w:val="6"/>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★进账合同变更管理：合同变更申请、审核和备案；合同如果发生变更，项目负责人可在线提交合同变更申请，科研管理人员可以查看和审核项目负责人提交的合同变更申请信息，经审批通过后备案。</w:t>
            </w:r>
          </w:p>
          <w:p>
            <w:pPr>
              <w:pStyle w:val="41"/>
              <w:numPr>
                <w:ilvl w:val="0"/>
                <w:numId w:val="6"/>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★进账合同结项管理：合同结项申请、审核和备案；</w:t>
            </w:r>
          </w:p>
          <w:p>
            <w:pPr>
              <w:pStyle w:val="41"/>
              <w:numPr>
                <w:ilvl w:val="0"/>
                <w:numId w:val="6"/>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★出账合同备案管理：合同登记备案，提供合同增、删、改、查、审、Excel导入导出以及统计分析功能；</w:t>
            </w:r>
          </w:p>
          <w:p>
            <w:pPr>
              <w:pStyle w:val="41"/>
              <w:numPr>
                <w:ilvl w:val="0"/>
                <w:numId w:val="6"/>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▲合作单位信息管理：合作单位基本信息和相关资质材料管理；</w:t>
            </w:r>
          </w:p>
          <w:p>
            <w:pPr>
              <w:pStyle w:val="41"/>
              <w:numPr>
                <w:ilvl w:val="0"/>
                <w:numId w:val="6"/>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▲联合申请协议备案：联合申请协议登记备案，提供合同增、删、改、查、审、Excel导入导出以及统计分析功能。外协合同线上签审通过后，可在线打印合同审查登记表，可带水印和二维码打印。</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2.4</w:t>
            </w:r>
            <w:r>
              <w:rPr>
                <w:rFonts w:hint="eastAsia" w:asciiTheme="minorEastAsia" w:hAnsiTheme="minorEastAsia" w:eastAsiaTheme="minorEastAsia"/>
                <w:b/>
                <w:bCs/>
                <w:color w:val="000000" w:themeColor="text1"/>
                <w14:textFill>
                  <w14:solidFill>
                    <w14:schemeClr w14:val="tx1"/>
                  </w14:solidFill>
                </w14:textFill>
              </w:rPr>
              <w:t>项目文本管理</w:t>
            </w:r>
          </w:p>
          <w:p>
            <w:pPr>
              <w:pStyle w:val="41"/>
              <w:numPr>
                <w:ilvl w:val="0"/>
                <w:numId w:val="7"/>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文本管理，包括项目立项、阶段进展、结题等环节相关文档，如申请书、批文、任务书、合同协议、结题报告等，设置成必填选项，在相关环节业务申报时一并申报，经审核通过后，系统自动对各类项目文档分类进行归档。</w:t>
            </w:r>
          </w:p>
          <w:p>
            <w:pPr>
              <w:pStyle w:val="41"/>
              <w:numPr>
                <w:ilvl w:val="0"/>
                <w:numId w:val="7"/>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★设置文档查阅权限，管理人员具备最高权限，可审核、查阅各类项目文档。项目负责人只能查看、查阅、修改、提交本人项目文档信息。</w:t>
            </w:r>
          </w:p>
          <w:p>
            <w:pPr>
              <w:pStyle w:val="41"/>
              <w:numPr>
                <w:ilvl w:val="0"/>
                <w:numId w:val="7"/>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▲项目结项时，项目所有电子文档可以自动归集，可批量导出项目电子版档案文件。</w:t>
            </w:r>
          </w:p>
          <w:p>
            <w:pPr>
              <w:pStyle w:val="41"/>
              <w:rPr>
                <w:rFonts w:asciiTheme="minorEastAsia" w:hAnsiTheme="minorEastAsia" w:eastAsiaTheme="minorEastAsia"/>
                <w:color w:val="000000" w:themeColor="text1"/>
                <w14:textFill>
                  <w14:solidFill>
                    <w14:schemeClr w14:val="tx1"/>
                  </w14:solidFill>
                </w14:textFill>
              </w:rPr>
            </w:pP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w:t>
            </w:r>
            <w:r>
              <w:rPr>
                <w:rFonts w:asciiTheme="minorEastAsia" w:hAnsiTheme="minorEastAsia" w:eastAsiaTheme="minorEastAsia"/>
                <w:b/>
                <w:bC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b/>
                <w:bCs/>
                <w:color w:val="000000" w:themeColor="text1"/>
                <w14:textFill>
                  <w14:solidFill>
                    <w14:schemeClr w14:val="tx1"/>
                  </w14:solidFill>
                </w14:textFill>
              </w:rPr>
              <w:t>▲经费管理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提供各类科研项目经费预算、经费入账、经费支出、经费决算等管理等功能，与财务系统对接，实现科研经费数据共享交换和网上业务协同。</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w:t>
            </w:r>
            <w:r>
              <w:rPr>
                <w:rFonts w:asciiTheme="minorEastAsia" w:hAnsiTheme="minorEastAsia" w:eastAsiaTheme="minorEastAsia"/>
                <w:b/>
                <w:bCs/>
                <w:color w:val="000000" w:themeColor="text1"/>
                <w14:textFill>
                  <w14:solidFill>
                    <w14:schemeClr w14:val="tx1"/>
                  </w14:solidFill>
                </w14:textFill>
              </w:rPr>
              <w:t>.1</w:t>
            </w:r>
            <w:r>
              <w:rPr>
                <w:rFonts w:hint="eastAsia" w:asciiTheme="minorEastAsia" w:hAnsiTheme="minorEastAsia" w:eastAsiaTheme="minorEastAsia"/>
                <w:b/>
                <w:bCs/>
                <w:color w:val="000000" w:themeColor="text1"/>
                <w14:textFill>
                  <w14:solidFill>
                    <w14:schemeClr w14:val="tx1"/>
                  </w14:solidFill>
                </w14:textFill>
              </w:rPr>
              <w:t>银行到款</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银行到款信息登记、查询、统计等，支持Excel批量导入。</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w:t>
            </w:r>
            <w:r>
              <w:rPr>
                <w:rFonts w:asciiTheme="minorEastAsia" w:hAnsiTheme="minorEastAsia" w:eastAsiaTheme="minorEastAsia"/>
                <w:b/>
                <w:bCs/>
                <w:color w:val="000000" w:themeColor="text1"/>
                <w14:textFill>
                  <w14:solidFill>
                    <w14:schemeClr w14:val="tx1"/>
                  </w14:solidFill>
                </w14:textFill>
              </w:rPr>
              <w:t>.2</w:t>
            </w:r>
            <w:r>
              <w:rPr>
                <w:rFonts w:hint="eastAsia" w:asciiTheme="minorEastAsia" w:hAnsiTheme="minorEastAsia" w:eastAsiaTheme="minorEastAsia"/>
                <w:b/>
                <w:bCs/>
                <w:color w:val="000000" w:themeColor="text1"/>
                <w14:textFill>
                  <w14:solidFill>
                    <w14:schemeClr w14:val="tx1"/>
                  </w14:solidFill>
                </w14:textFill>
              </w:rPr>
              <w:t>项目入账</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批量到款可由科研管理人员网上批量分配，支持拨款单导入。</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个别到款（不清楚来款归属项目的）可由项目负责人网上认领、科研管理人员审批。</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项目经费卡建卡和入账，可支持经费拆卡、拆预算模式，经审批通过后，可根据项目入账信息打印到款通知单。</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可对项目到账信息进行查询、统计、导出。</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w:t>
            </w:r>
            <w:r>
              <w:rPr>
                <w:rFonts w:asciiTheme="minorEastAsia" w:hAnsiTheme="minorEastAsia" w:eastAsiaTheme="minorEastAsia"/>
                <w:b/>
                <w:bCs/>
                <w:color w:val="000000" w:themeColor="text1"/>
                <w14:textFill>
                  <w14:solidFill>
                    <w14:schemeClr w14:val="tx1"/>
                  </w14:solidFill>
                </w14:textFill>
              </w:rPr>
              <w:t>.3</w:t>
            </w:r>
            <w:r>
              <w:rPr>
                <w:rFonts w:hint="eastAsia" w:asciiTheme="minorEastAsia" w:hAnsiTheme="minorEastAsia" w:eastAsiaTheme="minorEastAsia"/>
                <w:b/>
                <w:bCs/>
                <w:color w:val="000000" w:themeColor="text1"/>
                <w14:textFill>
                  <w14:solidFill>
                    <w14:schemeClr w14:val="tx1"/>
                  </w14:solidFill>
                </w14:textFill>
              </w:rPr>
              <w:t>费用提取</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可根据项目类别设置其各类费用提取参数和方案。</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项目入账登记时，各类费用自动提取、记录，可手动调整。</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w:t>
            </w:r>
            <w:r>
              <w:rPr>
                <w:rFonts w:asciiTheme="minorEastAsia" w:hAnsiTheme="minorEastAsia" w:eastAsiaTheme="minorEastAsia"/>
                <w:b/>
                <w:bCs/>
                <w:color w:val="000000" w:themeColor="text1"/>
                <w14:textFill>
                  <w14:solidFill>
                    <w14:schemeClr w14:val="tx1"/>
                  </w14:solidFill>
                </w14:textFill>
              </w:rPr>
              <w:t>.4</w:t>
            </w:r>
            <w:r>
              <w:rPr>
                <w:rFonts w:hint="eastAsia" w:asciiTheme="minorEastAsia" w:hAnsiTheme="minorEastAsia" w:eastAsiaTheme="minorEastAsia"/>
                <w:b/>
                <w:bCs/>
                <w:color w:val="000000" w:themeColor="text1"/>
                <w14:textFill>
                  <w14:solidFill>
                    <w14:schemeClr w14:val="tx1"/>
                  </w14:solidFill>
                </w14:textFill>
              </w:rPr>
              <w:t>经费外拨</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合作单位的外拨经费登记、审核，项目负责人发起，从所负责项目入账经费中申请, 科研管理人员审批。</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3.5</w:t>
            </w:r>
            <w:r>
              <w:rPr>
                <w:rFonts w:hint="eastAsia" w:asciiTheme="minorEastAsia" w:hAnsiTheme="minorEastAsia" w:eastAsiaTheme="minorEastAsia"/>
                <w:b/>
                <w:bCs/>
                <w:color w:val="000000" w:themeColor="text1"/>
                <w14:textFill>
                  <w14:solidFill>
                    <w14:schemeClr w14:val="tx1"/>
                  </w14:solidFill>
                </w14:textFill>
              </w:rPr>
              <w:t>工作量分割</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可分割项目经费工作量至各项目成员，用于项目成员工作量考核。</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3.6</w:t>
            </w:r>
            <w:r>
              <w:rPr>
                <w:rFonts w:hint="eastAsia" w:asciiTheme="minorEastAsia" w:hAnsiTheme="minorEastAsia" w:eastAsiaTheme="minorEastAsia"/>
                <w:b/>
                <w:bCs/>
                <w:color w:val="000000" w:themeColor="text1"/>
                <w14:textFill>
                  <w14:solidFill>
                    <w14:schemeClr w14:val="tx1"/>
                  </w14:solidFill>
                </w14:textFill>
              </w:rPr>
              <w:t>预借票据</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各类票据预借业务网上申请，包括增值税普票、增值税专票、行政事业单位往来票据、银行业务回单等，简化票据办理流程，与财务处实现业务对接，项目入账后进行票据核销。</w:t>
            </w:r>
          </w:p>
          <w:p>
            <w:pPr>
              <w:spacing w:line="360" w:lineRule="auto"/>
              <w:ind w:firstLine="420" w:firstLineChars="200"/>
              <w:rPr>
                <w:rFonts w:asciiTheme="minorEastAsia" w:hAnsiTheme="minorEastAsia" w:eastAsiaTheme="minorEastAsia"/>
                <w:b/>
                <w:bCs/>
                <w:color w:val="000000" w:themeColor="text1"/>
                <w:szCs w:val="21"/>
                <w14:textFill>
                  <w14:solidFill>
                    <w14:schemeClr w14:val="tx1"/>
                  </w14:solidFill>
                </w14:textFill>
              </w:rPr>
            </w:pPr>
            <w:bookmarkStart w:id="0" w:name="_Toc23412_WPSOffice_Level3"/>
            <w:r>
              <w:rPr>
                <w:rFonts w:asciiTheme="minorEastAsia" w:hAnsiTheme="minorEastAsia" w:eastAsiaTheme="minorEastAsia"/>
                <w:b/>
                <w:bCs/>
                <w:color w:val="000000" w:themeColor="text1"/>
                <w:szCs w:val="21"/>
                <w14:textFill>
                  <w14:solidFill>
                    <w14:schemeClr w14:val="tx1"/>
                  </w14:solidFill>
                </w14:textFill>
              </w:rPr>
              <w:t>3.7</w:t>
            </w:r>
            <w:r>
              <w:rPr>
                <w:rFonts w:hint="eastAsia" w:asciiTheme="minorEastAsia" w:hAnsiTheme="minorEastAsia" w:eastAsiaTheme="minorEastAsia"/>
                <w:b/>
                <w:bCs/>
                <w:color w:val="000000" w:themeColor="text1"/>
                <w:szCs w:val="21"/>
                <w14:textFill>
                  <w14:solidFill>
                    <w14:schemeClr w14:val="tx1"/>
                  </w14:solidFill>
                </w14:textFill>
              </w:rPr>
              <w:t>经费结转</w:t>
            </w:r>
            <w:bookmarkEnd w:id="0"/>
          </w:p>
          <w:p>
            <w:pPr>
              <w:spacing w:line="360" w:lineRule="auto"/>
              <w:ind w:firstLine="420" w:firstLineChars="200"/>
              <w:rPr>
                <w:rFonts w:cs="仿宋" w:asciiTheme="minorEastAsia" w:hAnsiTheme="minorEastAsia" w:eastAsiaTheme="minorEastAsia"/>
                <w:color w:val="000000" w:themeColor="text1"/>
                <w:szCs w:val="21"/>
                <w:lang w:val="zh-CN"/>
                <w14:textFill>
                  <w14:solidFill>
                    <w14:schemeClr w14:val="tx1"/>
                  </w14:solidFill>
                </w14:textFill>
              </w:rPr>
            </w:pPr>
            <w:r>
              <w:rPr>
                <w:rFonts w:hint="eastAsia" w:cs="仿宋" w:asciiTheme="minorEastAsia" w:hAnsiTheme="minorEastAsia" w:eastAsiaTheme="minorEastAsia"/>
                <w:color w:val="000000" w:themeColor="text1"/>
                <w:szCs w:val="21"/>
                <w:lang w:val="zh-CN"/>
                <w14:textFill>
                  <w14:solidFill>
                    <w14:schemeClr w14:val="tx1"/>
                  </w14:solidFill>
                </w14:textFill>
              </w:rPr>
              <w:t>针对已结项但经费尚有结余的项目，可进行结转操作。经费结转可由项目负责人发起，科研管理人员审批，也可由科研管理人员统一结转。</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w:t>
            </w:r>
            <w:r>
              <w:rPr>
                <w:rFonts w:asciiTheme="minorEastAsia" w:hAnsiTheme="minorEastAsia" w:eastAsiaTheme="minorEastAsia"/>
                <w:b/>
                <w:bCs/>
                <w:color w:val="000000" w:themeColor="text1"/>
                <w14:textFill>
                  <w14:solidFill>
                    <w14:schemeClr w14:val="tx1"/>
                  </w14:solidFill>
                </w14:textFill>
              </w:rPr>
              <w:t>.8</w:t>
            </w:r>
            <w:r>
              <w:rPr>
                <w:rFonts w:hint="eastAsia" w:asciiTheme="minorEastAsia" w:hAnsiTheme="minorEastAsia" w:eastAsiaTheme="minorEastAsia"/>
                <w:b/>
                <w:bCs/>
                <w:color w:val="000000" w:themeColor="text1"/>
                <w14:textFill>
                  <w14:solidFill>
                    <w14:schemeClr w14:val="tx1"/>
                  </w14:solidFill>
                </w14:textFill>
              </w:rPr>
              <w:t>▲经费预算管理模块</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可根据项目类别，配置各类项目预算标准、预算控制规则、经费建卡模式、预算拆分规则、费用提取方案及其编号规则等参数，实现自主配置和管理：</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项目分类设置 可建立项目分类结构树，配置各类项目级别、预算标准、经费建卡模式、预算控制规则、费用提取方案及其编号规则。</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预算标准设置 可依据项目类别建立对应的预算标准模板，设置预算科目、子科目、科目类型以及科目控制规则等信息。支持同类项目不同时间段套用不同预算模板进行管理。</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预算控制规则设置 支持不同类别项目采用不同的经费预算控制规则，可以按项目总预算进行控制，也可以按科目进行单独控制或者组合控制。</w:t>
            </w:r>
          </w:p>
          <w:p>
            <w:pPr>
              <w:pStyle w:val="30"/>
              <w:rPr>
                <w:rFonts w:asciiTheme="minorEastAsia" w:hAnsiTheme="minorEastAsia" w:eastAsiaTheme="minorEastAsia"/>
                <w:color w:val="000000" w:themeColor="text1"/>
                <w:szCs w:val="21"/>
                <w14:textFill>
                  <w14:solidFill>
                    <w14:schemeClr w14:val="tx1"/>
                  </w14:solidFill>
                </w14:textFill>
              </w:rPr>
            </w:pP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经费卡建卡模式设置 支持不同类别项目设置不同的经费建卡模式（如一个项目一张卡，或者项目直接经费、间接经费单独建卡，或者国库经费项目按年度建卡等），支持项目进行经费卡拆分，即一个项目可拆分多个经费卡（一个项目多个经费负责人），支持不同的拆分模式。经费拆分后，可对项目预算进行有效控制。</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费用提取规则设置 支持自定义每类项目的各类费用提取计算规则，提供费用提取的所有计算参数，用户可自行定义各类费用计提规则的计算表达式，在项目入账时系统自行计算计提。</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编号生成规则设置 支持自定义项目编号生成规则，提供字母前缀、类别号、年度编号、流水号等多种组合参数，供用户自行定义。支持自定义项目经费卡编号生成规则。支持自定义项目结题经费卡编号生成规则。</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3.9</w:t>
            </w:r>
            <w:r>
              <w:rPr>
                <w:rFonts w:hint="eastAsia" w:asciiTheme="minorEastAsia" w:hAnsiTheme="minorEastAsia" w:eastAsiaTheme="minorEastAsia"/>
                <w:b/>
                <w:bCs/>
                <w:color w:val="000000" w:themeColor="text1"/>
                <w14:textFill>
                  <w14:solidFill>
                    <w14:schemeClr w14:val="tx1"/>
                  </w14:solidFill>
                </w14:textFill>
              </w:rPr>
              <w:t>★科研财务数据对接</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通过科研系统与财务系统对接，实现科研管理部门和财务管理部门科研经费数据共享：</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数据接口：开发科研与财务系统数据接口，建立数据信任和传递机制；</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数据对照：项目分类对照，项目编码及代号对照，预算科目标准与财务报销科目对照；</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信息共享：项目预算信息共享，银行到款信息共享，项目入账信息共享，财务报销信息共享；</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数据同步：展示科研与财务系统共享信息及同步状态，提供同步核对功能。</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w:t>
            </w:r>
            <w:r>
              <w:rPr>
                <w:rFonts w:asciiTheme="minorEastAsia" w:hAnsiTheme="minorEastAsia" w:eastAsiaTheme="minorEastAsia"/>
                <w:b/>
                <w:bCs/>
                <w:color w:val="000000" w:themeColor="text1"/>
                <w14:textFill>
                  <w14:solidFill>
                    <w14:schemeClr w14:val="tx1"/>
                  </w14:solidFill>
                </w14:textFill>
              </w:rPr>
              <w:t>.10</w:t>
            </w:r>
            <w:r>
              <w:rPr>
                <w:rFonts w:hint="eastAsia" w:asciiTheme="minorEastAsia" w:hAnsiTheme="minorEastAsia" w:eastAsiaTheme="minorEastAsia"/>
                <w:b/>
                <w:bCs/>
                <w:color w:val="000000" w:themeColor="text1"/>
                <w14:textFill>
                  <w14:solidFill>
                    <w14:schemeClr w14:val="tx1"/>
                  </w14:solidFill>
                </w14:textFill>
              </w:rPr>
              <w:t>★科研财务业务协同</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通过科研系统与财务系统对接，实现科研管理部门和财务管理部门科研经费业务协同，包括项目入账、经费外拨、预算变更、预借票据、经费结转等业务申请审批，各类经费结算单据生成和打印，推送财务系统实现业务协同。经费业务协同具体内容，需要根据实验室科研和财务实际情况进一步分析确定。</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可设置各类项目“预算-报销”科目对照表，将财务报销明细信息自动对应到项目预算科目中，以跟踪项目预算执行率；项目执行过程中，项目负责人可发起项目预算变更申请，</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经费执行统计，可从项目（群）、项目、时间等角度，统计科研经费执行率；项目执行过程中，系统通过与财务系统对接，自动获取项目经费支出数据，系统可统计和跟踪项目预算执行情况，按照预算控制规则，对项目预算进行控制。</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经费执行预警，可设置项目经费执行预警触发条件和信息模板，系统可动态向项目负责人推送相关预警信息；</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经费工作量分割，可分割项目经费工作量至各项目成员，用于项目成员工作量考核；</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项目绩效分割，可分割项目绩效经费至各项目成员，经科研管理人员审批后进行绩效发放。</w:t>
            </w:r>
          </w:p>
          <w:p>
            <w:pPr>
              <w:pStyle w:val="30"/>
              <w:ind w:firstLine="422"/>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3</w:t>
            </w:r>
            <w:r>
              <w:rPr>
                <w:rFonts w:asciiTheme="minorEastAsia" w:hAnsiTheme="minorEastAsia" w:eastAsiaTheme="minorEastAsia"/>
                <w:b/>
                <w:bCs/>
                <w:color w:val="000000" w:themeColor="text1"/>
                <w:szCs w:val="21"/>
                <w14:textFill>
                  <w14:solidFill>
                    <w14:schemeClr w14:val="tx1"/>
                  </w14:solidFill>
                </w14:textFill>
              </w:rPr>
              <w:t>.11</w:t>
            </w:r>
            <w:r>
              <w:rPr>
                <w:rFonts w:hint="eastAsia" w:asciiTheme="minorEastAsia" w:hAnsiTheme="minorEastAsia" w:eastAsiaTheme="minorEastAsia"/>
                <w:b/>
                <w:bCs/>
                <w:color w:val="000000" w:themeColor="text1"/>
                <w:szCs w:val="21"/>
                <w14:textFill>
                  <w14:solidFill>
                    <w14:schemeClr w14:val="tx1"/>
                  </w14:solidFill>
                </w14:textFill>
              </w:rPr>
              <w:t>▲数据治理</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制定科研经费历史数据处理策略，对各类在研项目科研经费历史数据（预算、来款、入账、费用提留等）进行分析和治理，逐步实现科研与财务系统有关科研经费数据一致。</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提供数据清洗协同，提供系统运转过程中异常数据处理和数据纠偏。</w:t>
            </w:r>
          </w:p>
          <w:p>
            <w:pPr>
              <w:pStyle w:val="41"/>
              <w:rPr>
                <w:rFonts w:asciiTheme="minorEastAsia" w:hAnsiTheme="minorEastAsia" w:eastAsiaTheme="minorEastAsia"/>
                <w:color w:val="000000" w:themeColor="text1"/>
                <w14:textFill>
                  <w14:solidFill>
                    <w14:schemeClr w14:val="tx1"/>
                  </w14:solidFill>
                </w14:textFill>
              </w:rPr>
            </w:pP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4</w:t>
            </w:r>
            <w:r>
              <w:rPr>
                <w:rFonts w:asciiTheme="minorEastAsia" w:hAnsiTheme="minorEastAsia" w:eastAsiaTheme="minorEastAsia"/>
                <w:b/>
                <w:bCs/>
                <w:color w:val="000000" w:themeColor="text1"/>
                <w14:textFill>
                  <w14:solidFill>
                    <w14:schemeClr w14:val="tx1"/>
                  </w14:solidFill>
                </w14:textFill>
              </w:rPr>
              <w:t>.</w:t>
            </w:r>
            <w:r>
              <w:rPr>
                <w:rFonts w:hint="eastAsia" w:asciiTheme="minorEastAsia" w:hAnsiTheme="minorEastAsia" w:eastAsiaTheme="minorEastAsia"/>
                <w:b/>
                <w:bCs/>
                <w:color w:val="000000" w:themeColor="text1"/>
                <w14:textFill>
                  <w14:solidFill>
                    <w14:schemeClr w14:val="tx1"/>
                  </w14:solidFill>
                </w14:textFill>
              </w:rPr>
              <w:t>成果管理</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4</w:t>
            </w:r>
            <w:r>
              <w:rPr>
                <w:rFonts w:asciiTheme="minorEastAsia" w:hAnsiTheme="minorEastAsia" w:eastAsiaTheme="minorEastAsia"/>
                <w:b/>
                <w:bCs/>
                <w:color w:val="000000" w:themeColor="text1"/>
                <w14:textFill>
                  <w14:solidFill>
                    <w14:schemeClr w14:val="tx1"/>
                  </w14:solidFill>
                </w14:textFill>
              </w:rPr>
              <w:t>.1</w:t>
            </w:r>
            <w:r>
              <w:rPr>
                <w:rFonts w:hint="eastAsia" w:asciiTheme="minorEastAsia" w:hAnsiTheme="minorEastAsia" w:eastAsiaTheme="minorEastAsia"/>
                <w:b/>
                <w:bCs/>
                <w:color w:val="000000" w:themeColor="text1"/>
                <w14:textFill>
                  <w14:solidFill>
                    <w14:schemeClr w14:val="tx1"/>
                  </w14:solidFill>
                </w14:textFill>
              </w:rPr>
              <w:t>★科研成果</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论文登记审批：支持Excel批量导入、网上登记、论文认领、论文自助检索四种形式；</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论文库：论文查询、Excel导出以及基本统计分析功能；</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期刊源和刊物级别管理：支持期刊源创建及管理，支持刊物级别设定，并与论文库论文数据进行匹配；</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论文奖励：论文奖励批次创建及统计表导出。</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著作、研究报告、咨询报告、鉴定成果、艺术作品、成果转化等成果信息</w:t>
            </w:r>
            <w:r>
              <w:rPr>
                <w:rFonts w:hint="eastAsia" w:cs="仿宋" w:asciiTheme="minorEastAsia" w:hAnsiTheme="minorEastAsia" w:eastAsiaTheme="minorEastAsia"/>
                <w:color w:val="000000" w:themeColor="text1"/>
                <w:lang w:val="zh-CN"/>
                <w14:textFill>
                  <w14:solidFill>
                    <w14:schemeClr w14:val="tx1"/>
                  </w14:solidFill>
                </w14:textFill>
              </w:rPr>
              <w:t>新增、删除、编辑</w:t>
            </w:r>
            <w:r>
              <w:rPr>
                <w:rFonts w:hint="eastAsia" w:asciiTheme="minorEastAsia" w:hAnsiTheme="minorEastAsia" w:eastAsiaTheme="minorEastAsia"/>
                <w:color w:val="000000" w:themeColor="text1"/>
                <w14:textFill>
                  <w14:solidFill>
                    <w14:schemeClr w14:val="tx1"/>
                  </w14:solidFill>
                </w14:textFill>
              </w:rPr>
              <w:t>、审批、查询、导入导出以及统计分析。</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提供标准信息新增、删除、编辑、审核、导入、导出和统计分析功能。</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4.2</w:t>
            </w:r>
            <w:r>
              <w:rPr>
                <w:rFonts w:hint="eastAsia" w:asciiTheme="minorEastAsia" w:hAnsiTheme="minorEastAsia" w:eastAsiaTheme="minorEastAsia"/>
                <w:b/>
                <w:bCs/>
                <w:color w:val="000000" w:themeColor="text1"/>
                <w14:textFill>
                  <w14:solidFill>
                    <w14:schemeClr w14:val="tx1"/>
                  </w14:solidFill>
                </w14:textFill>
              </w:rPr>
              <w:t>▲知识产权-基础模块</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实现与现有的智慧芽资产管理系统的对接，专利</w:t>
            </w:r>
            <w:r>
              <w:rPr>
                <w:rFonts w:hint="eastAsia" w:cs="仿宋" w:asciiTheme="minorEastAsia" w:hAnsiTheme="minorEastAsia" w:eastAsiaTheme="minorEastAsia"/>
                <w:color w:val="000000" w:themeColor="text1"/>
                <w14:textFill>
                  <w14:solidFill>
                    <w14:schemeClr w14:val="tx1"/>
                  </w14:solidFill>
                </w14:textFill>
              </w:rPr>
              <w:t>基本信息从知识产权系统获取</w:t>
            </w:r>
            <w:r>
              <w:rPr>
                <w:rFonts w:hint="eastAsia" w:asciiTheme="minorEastAsia" w:hAnsiTheme="minorEastAsia" w:eastAsiaTheme="minorEastAsia"/>
                <w:color w:val="000000" w:themeColor="text1"/>
                <w14:textFill>
                  <w14:solidFill>
                    <w14:schemeClr w14:val="tx1"/>
                  </w14:solidFill>
                </w14:textFill>
              </w:rPr>
              <w:t>；</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专利信息登记、审批、查询、导入导出以及统计分析；</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软件著作权信息登记、审批、查询、导入导出以及统计分析；</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商标信息登记、审批、查询、导入导出以及统计分析。</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4.3</w:t>
            </w:r>
            <w:r>
              <w:rPr>
                <w:rFonts w:hint="eastAsia" w:asciiTheme="minorEastAsia" w:hAnsiTheme="minorEastAsia" w:eastAsiaTheme="minorEastAsia"/>
                <w:b/>
                <w:bCs/>
                <w:color w:val="000000" w:themeColor="text1"/>
                <w14:textFill>
                  <w14:solidFill>
                    <w14:schemeClr w14:val="tx1"/>
                  </w14:solidFill>
                </w14:textFill>
              </w:rPr>
              <w:t>成果获奖</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获奖登记：国家级、省部级等获奖情况登记管理。</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学术活动：主办会议、学术讲座、专家来访、出国交流等学术交流活动信息登记管理。</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4.5</w:t>
            </w:r>
            <w:r>
              <w:rPr>
                <w:rFonts w:hint="eastAsia" w:asciiTheme="minorEastAsia" w:hAnsiTheme="minorEastAsia" w:eastAsiaTheme="minorEastAsia"/>
                <w:b/>
                <w:bCs/>
                <w:color w:val="000000" w:themeColor="text1"/>
                <w14:textFill>
                  <w14:solidFill>
                    <w14:schemeClr w14:val="tx1"/>
                  </w14:solidFill>
                </w14:textFill>
              </w:rPr>
              <w:t>论文网推</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中英文论文数据（WOS、EI、知网、CSSCI、JCR）网推服务，实现实验室科研人员论文成果数据的智能采集、匹配、推送和个人认领，免登记、免审核。可快速批量采集论文发表数据（数据来源包括SCI、EI、知网以及JCR等），原始数据信息留存可追溯。</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作者/机构中英对照：建立网络论文库检索精确/模糊匹配机制，实现实验室论文检索和作者姓名匹配；</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论文推送认领：将网络获取的论文题录数据与实验室作者姓名（中英文）进行自动匹配，将论文信息直接推送到作者本人，作者登录平台直接认领，重名情况重复认领由管理员审批。</w:t>
            </w:r>
          </w:p>
          <w:p>
            <w:pPr>
              <w:pStyle w:val="41"/>
              <w:rPr>
                <w:rFonts w:asciiTheme="minorEastAsia" w:hAnsiTheme="minorEastAsia" w:eastAsiaTheme="minorEastAsia"/>
                <w:color w:val="000000" w:themeColor="text1"/>
                <w14:textFill>
                  <w14:solidFill>
                    <w14:schemeClr w14:val="tx1"/>
                  </w14:solidFill>
                </w14:textFill>
              </w:rPr>
            </w:pP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5</w:t>
            </w:r>
            <w:r>
              <w:rPr>
                <w:rFonts w:asciiTheme="minorEastAsia" w:hAnsiTheme="minorEastAsia" w:eastAsiaTheme="minorEastAsia"/>
                <w:b/>
                <w:bCs/>
                <w:color w:val="000000" w:themeColor="text1"/>
                <w14:textFill>
                  <w14:solidFill>
                    <w14:schemeClr w14:val="tx1"/>
                  </w14:solidFill>
                </w14:textFill>
              </w:rPr>
              <w:t>.</w:t>
            </w:r>
            <w:r>
              <w:rPr>
                <w:rFonts w:hint="eastAsia" w:asciiTheme="minorEastAsia" w:hAnsiTheme="minorEastAsia" w:eastAsiaTheme="minorEastAsia"/>
                <w:b/>
                <w:bCs/>
                <w:color w:val="000000" w:themeColor="text1"/>
                <w14:textFill>
                  <w14:solidFill>
                    <w14:schemeClr w14:val="tx1"/>
                  </w14:solidFill>
                </w14:textFill>
              </w:rPr>
              <w:t>基础资源</w:t>
            </w:r>
          </w:p>
          <w:p>
            <w:pPr>
              <w:pStyle w:val="41"/>
              <w:ind w:firstLine="422"/>
              <w:rPr>
                <w:rFonts w:asciiTheme="minorEastAsia" w:hAnsiTheme="minorEastAsia" w:eastAsiaTheme="minorEastAsia"/>
                <w:b/>
                <w:bCs/>
                <w:color w:val="000000" w:themeColor="text1"/>
                <w14:textFill>
                  <w14:solidFill>
                    <w14:schemeClr w14:val="tx1"/>
                  </w14:solidFill>
                </w14:textFill>
              </w:rPr>
            </w:pPr>
          </w:p>
          <w:p>
            <w:pPr>
              <w:pStyle w:val="41"/>
              <w:ind w:firstLine="42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5</w:t>
            </w:r>
            <w:r>
              <w:rPr>
                <w:rFonts w:asciiTheme="minorEastAsia" w:hAnsiTheme="minorEastAsia" w:eastAsiaTheme="minorEastAsia"/>
                <w:b/>
                <w:bCs/>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b/>
                <w:bCs/>
                <w:color w:val="000000" w:themeColor="text1"/>
                <w14:textFill>
                  <w14:solidFill>
                    <w14:schemeClr w14:val="tx1"/>
                  </w14:solidFill>
                </w14:textFill>
              </w:rPr>
              <w:t>人员注册</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为拟申报自主项目的申报人员提供开放注册页面，不限制注册人数，用户注册数量增加的不收取额外费用，以及专属登陆场景，包含通知公告、项目指南、个人信息维护、项目申报等内容，可跟踪项目申报评审结果，可对评审结果提出意见反馈；项目申报批复之后，转为承担项目的项目负责人账号，提供专属登陆场景及权限；</w:t>
            </w:r>
          </w:p>
          <w:p>
            <w:pPr>
              <w:pStyle w:val="41"/>
              <w:ind w:firstLine="422"/>
              <w:rPr>
                <w:rFonts w:asciiTheme="minorEastAsia" w:hAnsiTheme="minorEastAsia" w:eastAsiaTheme="minorEastAsia"/>
                <w:b/>
                <w:bCs/>
                <w:color w:val="000000" w:themeColor="text1"/>
                <w14:textFill>
                  <w14:solidFill>
                    <w14:schemeClr w14:val="tx1"/>
                  </w14:solidFill>
                </w14:textFill>
              </w:rPr>
            </w:pPr>
          </w:p>
          <w:p>
            <w:pPr>
              <w:pStyle w:val="41"/>
              <w:ind w:firstLine="42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5.</w:t>
            </w:r>
            <w:r>
              <w:rPr>
                <w:rFonts w:asciiTheme="minorEastAsia" w:hAnsiTheme="minorEastAsia" w:eastAsiaTheme="minorEastAsia"/>
                <w:b/>
                <w:bCs/>
                <w:color w:val="000000" w:themeColor="text1"/>
                <w14:textFill>
                  <w14:solidFill>
                    <w14:schemeClr w14:val="tx1"/>
                  </w14:solidFill>
                </w14:textFill>
              </w:rPr>
              <w:t>2</w:t>
            </w:r>
            <w:r>
              <w:rPr>
                <w:rFonts w:hint="eastAsia" w:asciiTheme="minorEastAsia" w:hAnsiTheme="minorEastAsia" w:eastAsiaTheme="minorEastAsia"/>
                <w:b/>
                <w:bCs/>
                <w:color w:val="000000" w:themeColor="text1"/>
                <w14:textFill>
                  <w14:solidFill>
                    <w14:schemeClr w14:val="tx1"/>
                  </w14:solidFill>
                </w14:textFill>
              </w:rPr>
              <w:t>▲科研人才库</w:t>
            </w:r>
          </w:p>
          <w:p>
            <w:pPr>
              <w:pStyle w:val="41"/>
              <w:rPr>
                <w:rFonts w:cs="仿宋"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科研人员基本信息（与人事系统同步）、</w:t>
            </w:r>
            <w:r>
              <w:rPr>
                <w:rFonts w:hint="eastAsia" w:cs="仿宋" w:asciiTheme="minorEastAsia" w:hAnsiTheme="minorEastAsia" w:eastAsiaTheme="minorEastAsia"/>
                <w:color w:val="000000" w:themeColor="text1"/>
                <w14:textFill>
                  <w14:solidFill>
                    <w14:schemeClr w14:val="tx1"/>
                  </w14:solidFill>
                </w14:textFill>
              </w:rPr>
              <w:t>详细信息等由本人维护，科研管理人员审核。</w:t>
            </w:r>
            <w:r>
              <w:rPr>
                <w:rFonts w:hint="eastAsia" w:asciiTheme="minorEastAsia" w:hAnsiTheme="minorEastAsia" w:eastAsiaTheme="minorEastAsia"/>
                <w:color w:val="000000" w:themeColor="text1"/>
                <w14:textFill>
                  <w14:solidFill>
                    <w14:schemeClr w14:val="tx1"/>
                  </w14:solidFill>
                </w14:textFill>
              </w:rPr>
              <w:t>科研人员信息管理及维护，查询、统计及批量导出，各类账户均可查询；可生成个人科研详情概览，汇总个人科研项目、经费、成果等数据，可自定义配置展示数据项，</w:t>
            </w:r>
            <w:r>
              <w:rPr>
                <w:rFonts w:hint="eastAsia" w:cs="仿宋" w:asciiTheme="minorEastAsia" w:hAnsiTheme="minorEastAsia" w:eastAsiaTheme="minorEastAsia"/>
                <w:color w:val="000000" w:themeColor="text1"/>
                <w14:textFill>
                  <w14:solidFill>
                    <w14:schemeClr w14:val="tx1"/>
                  </w14:solidFill>
                </w14:textFill>
              </w:rPr>
              <w:t>形成可定制的科研人员详情表</w:t>
            </w:r>
            <w:r>
              <w:rPr>
                <w:rFonts w:hint="eastAsia" w:asciiTheme="minorEastAsia" w:hAnsiTheme="minorEastAsia" w:eastAsiaTheme="minorEastAsia"/>
                <w:color w:val="000000" w:themeColor="text1"/>
                <w14:textFill>
                  <w14:solidFill>
                    <w14:schemeClr w14:val="tx1"/>
                  </w14:solidFill>
                </w14:textFill>
              </w:rPr>
              <w:t>，可进行个人科研详情表导出或者打印。</w:t>
            </w:r>
            <w:r>
              <w:rPr>
                <w:rFonts w:hint="eastAsia" w:cs="仿宋" w:asciiTheme="minorEastAsia" w:hAnsiTheme="minorEastAsia" w:eastAsiaTheme="minorEastAsia"/>
                <w:color w:val="000000" w:themeColor="text1"/>
                <w14:textFill>
                  <w14:solidFill>
                    <w14:schemeClr w14:val="tx1"/>
                  </w14:solidFill>
                </w14:textFill>
              </w:rPr>
              <w:t>在科研人员账户中，设置个人科研中心，展示个人科研所有数据。</w:t>
            </w:r>
          </w:p>
          <w:p>
            <w:pPr>
              <w:adjustRightInd w:val="0"/>
              <w:snapToGri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科研管理人员可对科研人员进行分类、分组等管理，可遴选科研人员参与项目、团队等评审工作。</w:t>
            </w:r>
          </w:p>
          <w:p>
            <w:pPr>
              <w:pStyle w:val="30"/>
              <w:rPr>
                <w:rFonts w:asciiTheme="minorEastAsia" w:hAnsiTheme="minorEastAsia" w:eastAsiaTheme="minorEastAsia"/>
                <w:color w:val="000000" w:themeColor="text1"/>
                <w:szCs w:val="21"/>
                <w14:textFill>
                  <w14:solidFill>
                    <w14:schemeClr w14:val="tx1"/>
                  </w14:solidFill>
                </w14:textFill>
              </w:rPr>
            </w:pPr>
          </w:p>
          <w:p>
            <w:pPr>
              <w:pStyle w:val="41"/>
              <w:ind w:firstLine="42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5.3</w:t>
            </w:r>
            <w:r>
              <w:rPr>
                <w:rFonts w:hint="eastAsia" w:asciiTheme="minorEastAsia" w:hAnsiTheme="minorEastAsia" w:eastAsiaTheme="minorEastAsia"/>
                <w:b/>
                <w:bCs/>
                <w:color w:val="000000" w:themeColor="text1"/>
                <w14:textFill>
                  <w14:solidFill>
                    <w14:schemeClr w14:val="tx1"/>
                  </w14:solidFill>
                </w14:textFill>
              </w:rPr>
              <w:t>▲评审专家库</w:t>
            </w:r>
          </w:p>
          <w:p>
            <w:pPr>
              <w:adjustRightInd w:val="0"/>
              <w:snapToGri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建立专家数据库，提供专家信息管理功能，专家由科研管理人员进行统一管理和维护，专家可登陆系统，对个人信息进行维护。</w:t>
            </w:r>
          </w:p>
          <w:p>
            <w:pPr>
              <w:adjustRightInd w:val="0"/>
              <w:snapToGri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提供专家遴选和分组功能，可根据需要进行专家遴选操作，可按所属单位、职称、学科、研究方向等维度进行专家遴选，专家遴选完成后，可对专家进行分组，可对各分组专家进行管理和维护。</w:t>
            </w:r>
          </w:p>
          <w:p>
            <w:pPr>
              <w:adjustRightInd w:val="0"/>
              <w:snapToGri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在项目申报、团队申报等业务网上评审时，学校可遴选和分配专家对相关项目进行评审，可分配单个专家，也可以分配专家组，专家分配完成后，系统自动向专家发送评审通知短信。</w:t>
            </w:r>
          </w:p>
          <w:p>
            <w:pPr>
              <w:adjustRightInd w:val="0"/>
              <w:snapToGri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专家根据短信信息登陆系统，对分配的项目、团队等申报材料进行在线评审和打分。</w:t>
            </w:r>
          </w:p>
          <w:p>
            <w:pPr>
              <w:pStyle w:val="30"/>
              <w:rPr>
                <w:rFonts w:asciiTheme="minorEastAsia" w:hAnsiTheme="minorEastAsia" w:eastAsiaTheme="minorEastAsia"/>
                <w:color w:val="000000" w:themeColor="text1"/>
                <w:szCs w:val="21"/>
                <w14:textFill>
                  <w14:solidFill>
                    <w14:schemeClr w14:val="tx1"/>
                  </w14:solidFill>
                </w14:textFill>
              </w:rPr>
            </w:pPr>
          </w:p>
          <w:p>
            <w:pPr>
              <w:pStyle w:val="41"/>
              <w:ind w:firstLine="42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5.4</w:t>
            </w:r>
            <w:r>
              <w:rPr>
                <w:rFonts w:hint="eastAsia" w:asciiTheme="minorEastAsia" w:hAnsiTheme="minorEastAsia" w:eastAsiaTheme="minorEastAsia"/>
                <w:b/>
                <w:bCs/>
                <w:color w:val="000000" w:themeColor="text1"/>
                <w14:textFill>
                  <w14:solidFill>
                    <w14:schemeClr w14:val="tx1"/>
                  </w14:solidFill>
                </w14:textFill>
              </w:rPr>
              <w:t>组织结构库</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实验室科研组织结构树创建及维护。系统可通过单位列表，查看和统计单位人员信息，统计单位科研项目、经费、成果等信息。</w:t>
            </w:r>
          </w:p>
          <w:p>
            <w:pPr>
              <w:pStyle w:val="41"/>
              <w:ind w:firstLine="42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5.5</w:t>
            </w:r>
            <w:r>
              <w:rPr>
                <w:rFonts w:hint="eastAsia" w:asciiTheme="minorEastAsia" w:hAnsiTheme="minorEastAsia" w:eastAsiaTheme="minorEastAsia"/>
                <w:b/>
                <w:bCs/>
                <w:color w:val="000000" w:themeColor="text1"/>
                <w14:textFill>
                  <w14:solidFill>
                    <w14:schemeClr w14:val="tx1"/>
                  </w14:solidFill>
                </w14:textFill>
              </w:rPr>
              <w:t>合作企业库</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合作企业信息管理、维护及统计分析。</w:t>
            </w:r>
          </w:p>
          <w:p>
            <w:pPr>
              <w:pStyle w:val="41"/>
              <w:ind w:firstLine="42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5.6</w:t>
            </w:r>
            <w:r>
              <w:rPr>
                <w:rFonts w:hint="eastAsia" w:asciiTheme="minorEastAsia" w:hAnsiTheme="minorEastAsia" w:eastAsiaTheme="minorEastAsia"/>
                <w:b/>
                <w:bCs/>
                <w:color w:val="000000" w:themeColor="text1"/>
                <w14:textFill>
                  <w14:solidFill>
                    <w14:schemeClr w14:val="tx1"/>
                  </w14:solidFill>
                </w14:textFill>
              </w:rPr>
              <w:t>政府部门库</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政府部门信息管理、维护及统计分析。</w:t>
            </w:r>
          </w:p>
          <w:p>
            <w:pPr>
              <w:pStyle w:val="41"/>
              <w:rPr>
                <w:rFonts w:asciiTheme="minorEastAsia" w:hAnsiTheme="minorEastAsia" w:eastAsiaTheme="minorEastAsia"/>
                <w:color w:val="000000" w:themeColor="text1"/>
                <w14:textFill>
                  <w14:solidFill>
                    <w14:schemeClr w14:val="tx1"/>
                  </w14:solidFill>
                </w14:textFill>
              </w:rPr>
            </w:pP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b/>
                <w:bCs/>
                <w:color w:val="000000" w:themeColor="text1"/>
                <w14:textFill>
                  <w14:solidFill>
                    <w14:schemeClr w14:val="tx1"/>
                  </w14:solidFill>
                </w14:textFill>
              </w:rPr>
              <w:t>系统集成</w:t>
            </w:r>
          </w:p>
          <w:p>
            <w:pPr>
              <w:pStyle w:val="41"/>
              <w:ind w:firstLine="42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6.1</w:t>
            </w:r>
            <w:r>
              <w:rPr>
                <w:rFonts w:hint="eastAsia" w:asciiTheme="minorEastAsia" w:hAnsiTheme="minorEastAsia" w:eastAsiaTheme="minorEastAsia"/>
                <w:b/>
                <w:bCs/>
                <w:color w:val="000000" w:themeColor="text1"/>
                <w14:textFill>
                  <w14:solidFill>
                    <w14:schemeClr w14:val="tx1"/>
                  </w14:solidFill>
                </w14:textFill>
              </w:rPr>
              <w:t>★统一身份认证</w:t>
            </w:r>
            <w:r>
              <w:rPr>
                <w:rFonts w:hint="eastAsia" w:asciiTheme="minorEastAsia" w:hAnsiTheme="minorEastAsia" w:eastAsiaTheme="minorEastAsia"/>
                <w:color w:val="000000" w:themeColor="text1"/>
                <w14:textFill>
                  <w14:solidFill>
                    <w14:schemeClr w14:val="tx1"/>
                  </w14:solidFill>
                </w14:textFill>
              </w:rPr>
              <w:t>：实现登录认证源的对接/单点登录集成。</w:t>
            </w:r>
          </w:p>
          <w:p>
            <w:pPr>
              <w:pStyle w:val="41"/>
              <w:ind w:firstLine="42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6.2</w:t>
            </w:r>
            <w:r>
              <w:rPr>
                <w:rFonts w:hint="eastAsia" w:asciiTheme="minorEastAsia" w:hAnsiTheme="minorEastAsia" w:eastAsiaTheme="minorEastAsia"/>
                <w:b/>
                <w:bCs/>
                <w:color w:val="000000" w:themeColor="text1"/>
                <w14:textFill>
                  <w14:solidFill>
                    <w14:schemeClr w14:val="tx1"/>
                  </w14:solidFill>
                </w14:textFill>
              </w:rPr>
              <w:t>★人事、财务、O</w:t>
            </w:r>
            <w:r>
              <w:rPr>
                <w:rFonts w:asciiTheme="minorEastAsia" w:hAnsiTheme="minorEastAsia" w:eastAsiaTheme="minorEastAsia"/>
                <w:b/>
                <w:bCs/>
                <w:color w:val="000000" w:themeColor="text1"/>
                <w14:textFill>
                  <w14:solidFill>
                    <w14:schemeClr w14:val="tx1"/>
                  </w14:solidFill>
                </w14:textFill>
              </w:rPr>
              <w:t>A</w:t>
            </w:r>
            <w:r>
              <w:rPr>
                <w:rFonts w:hint="eastAsia" w:asciiTheme="minorEastAsia" w:hAnsiTheme="minorEastAsia" w:eastAsiaTheme="minorEastAsia"/>
                <w:b/>
                <w:bCs/>
                <w:color w:val="000000" w:themeColor="text1"/>
                <w14:textFill>
                  <w14:solidFill>
                    <w14:schemeClr w14:val="tx1"/>
                  </w14:solidFill>
                </w14:textFill>
              </w:rPr>
              <w:t>系统:</w:t>
            </w:r>
            <w:r>
              <w:rPr>
                <w:rFonts w:hint="eastAsia" w:asciiTheme="minorEastAsia" w:hAnsiTheme="minorEastAsia" w:eastAsiaTheme="minorEastAsia"/>
                <w:color w:val="000000" w:themeColor="text1"/>
                <w14:textFill>
                  <w14:solidFill>
                    <w14:schemeClr w14:val="tx1"/>
                  </w14:solidFill>
                </w14:textFill>
              </w:rPr>
              <w:t xml:space="preserve"> 实现人员基本信息同步；审批流程对接O</w:t>
            </w:r>
            <w:r>
              <w:rPr>
                <w:rFonts w:asciiTheme="minorEastAsia" w:hAnsiTheme="minorEastAsia" w:eastAsiaTheme="minorEastAsia"/>
                <w:color w:val="000000" w:themeColor="text1"/>
                <w14:textFill>
                  <w14:solidFill>
                    <w14:schemeClr w14:val="tx1"/>
                  </w14:solidFill>
                </w14:textFill>
              </w:rPr>
              <w:t>A</w:t>
            </w:r>
            <w:r>
              <w:rPr>
                <w:rFonts w:hint="eastAsia" w:asciiTheme="minorEastAsia" w:hAnsiTheme="minorEastAsia" w:eastAsiaTheme="minorEastAsia"/>
                <w:color w:val="000000" w:themeColor="text1"/>
                <w14:textFill>
                  <w14:solidFill>
                    <w14:schemeClr w14:val="tx1"/>
                  </w14:solidFill>
                </w14:textFill>
              </w:rPr>
              <w:t>系统，能够显示审批流程、跟踪审批进度和结果；需要能够对接主流财务系统，如用友、金蝶等；</w:t>
            </w:r>
          </w:p>
          <w:p>
            <w:pPr>
              <w:pStyle w:val="41"/>
              <w:ind w:firstLine="42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6</w:t>
            </w:r>
            <w:r>
              <w:rPr>
                <w:rFonts w:asciiTheme="minorEastAsia" w:hAnsiTheme="minorEastAsia" w:eastAsiaTheme="minorEastAsia"/>
                <w:b/>
                <w:bCs/>
                <w:color w:val="000000" w:themeColor="text1"/>
                <w14:textFill>
                  <w14:solidFill>
                    <w14:schemeClr w14:val="tx1"/>
                  </w14:solidFill>
                </w14:textFill>
              </w:rPr>
              <w:t>.3</w:t>
            </w:r>
            <w:r>
              <w:rPr>
                <w:rFonts w:hint="eastAsia" w:asciiTheme="minorEastAsia" w:hAnsiTheme="minorEastAsia" w:eastAsiaTheme="minorEastAsia"/>
                <w:b/>
                <w:bCs/>
                <w:color w:val="000000" w:themeColor="text1"/>
                <w14:textFill>
                  <w14:solidFill>
                    <w14:schemeClr w14:val="tx1"/>
                  </w14:solidFill>
                </w14:textFill>
              </w:rPr>
              <w:t>▲知识产权对接：</w:t>
            </w:r>
            <w:r>
              <w:rPr>
                <w:rFonts w:hint="eastAsia" w:asciiTheme="minorEastAsia" w:hAnsiTheme="minorEastAsia" w:eastAsiaTheme="minorEastAsia"/>
                <w:color w:val="000000" w:themeColor="text1"/>
                <w14:textFill>
                  <w14:solidFill>
                    <w14:schemeClr w14:val="tx1"/>
                  </w14:solidFill>
                </w14:textFill>
              </w:rPr>
              <w:t>实现与智慧芽资产管理系统的对接，导入专利信息；</w:t>
            </w:r>
          </w:p>
          <w:p>
            <w:pPr>
              <w:pStyle w:val="41"/>
              <w:rPr>
                <w:rFonts w:asciiTheme="minorEastAsia" w:hAnsiTheme="minorEastAsia" w:eastAsiaTheme="minorEastAsia"/>
                <w:color w:val="000000" w:themeColor="text1"/>
                <w14:textFill>
                  <w14:solidFill>
                    <w14:schemeClr w14:val="tx1"/>
                  </w14:solidFill>
                </w14:textFill>
              </w:rPr>
            </w:pP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7.</w:t>
            </w:r>
            <w:r>
              <w:rPr>
                <w:rFonts w:hint="eastAsia" w:asciiTheme="minorEastAsia" w:hAnsiTheme="minorEastAsia" w:eastAsiaTheme="minorEastAsia"/>
                <w:b/>
                <w:bCs/>
                <w:color w:val="000000" w:themeColor="text1"/>
                <w14:textFill>
                  <w14:solidFill>
                    <w14:schemeClr w14:val="tx1"/>
                  </w14:solidFill>
                </w14:textFill>
              </w:rPr>
              <w:t>网上科研服务大厅</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7</w:t>
            </w:r>
            <w:r>
              <w:rPr>
                <w:rFonts w:asciiTheme="minorEastAsia" w:hAnsiTheme="minorEastAsia" w:eastAsiaTheme="minorEastAsia"/>
                <w:b/>
                <w:bCs/>
                <w:color w:val="000000" w:themeColor="text1"/>
                <w14:textFill>
                  <w14:solidFill>
                    <w14:schemeClr w14:val="tx1"/>
                  </w14:solidFill>
                </w14:textFill>
              </w:rPr>
              <w:t>.1</w:t>
            </w:r>
            <w:r>
              <w:rPr>
                <w:rFonts w:hint="eastAsia" w:asciiTheme="minorEastAsia" w:hAnsiTheme="minorEastAsia" w:eastAsiaTheme="minorEastAsia"/>
                <w:b/>
                <w:bCs/>
                <w:color w:val="000000" w:themeColor="text1"/>
                <w14:textFill>
                  <w14:solidFill>
                    <w14:schemeClr w14:val="tx1"/>
                  </w14:solidFill>
                </w14:textFill>
              </w:rPr>
              <w:t>▲科研服务点</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秉承“最多跑一次”、“最多录一次”的理念，全面梳理科研业务，规范业务流程，规范界面展示，规范业务提醒，搭建科研网上服务大厅，包括服务办理、业务跟踪、通知公告、个人中心四部分。</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服务办理为用户提供所有科研服务办理的入口/服务点，服务点按照项目、经费、成果、综合等类别进行梳理和构建，针对每项服务点，形成服务说明、服务流程、服务办理事项、服务所需文档模板、服务办理人员、办理咨询电话。在服务大厅实现科研业务办理的统一入口，针对每个服务点实现业务的“一站式”式办理。</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7</w:t>
            </w:r>
            <w:r>
              <w:rPr>
                <w:rFonts w:asciiTheme="minorEastAsia" w:hAnsiTheme="minorEastAsia" w:eastAsiaTheme="minorEastAsia"/>
                <w:b/>
                <w:bCs/>
                <w:color w:val="000000" w:themeColor="text1"/>
                <w14:textFill>
                  <w14:solidFill>
                    <w14:schemeClr w14:val="tx1"/>
                  </w14:solidFill>
                </w14:textFill>
              </w:rPr>
              <w:t>.2</w:t>
            </w:r>
            <w:r>
              <w:rPr>
                <w:rFonts w:hint="eastAsia" w:asciiTheme="minorEastAsia" w:hAnsiTheme="minorEastAsia" w:eastAsiaTheme="minorEastAsia"/>
                <w:b/>
                <w:bCs/>
                <w:color w:val="000000" w:themeColor="text1"/>
                <w14:textFill>
                  <w14:solidFill>
                    <w14:schemeClr w14:val="tx1"/>
                  </w14:solidFill>
                </w14:textFill>
              </w:rPr>
              <w:t>▲业务跟踪</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业务跟踪可对办理中业务的跟踪展示，可对办理中的业务进行查看、催办，办理完成对办理人进行信息提醒。提供服务反馈通道，每个办理人可对业务的办理效果进行信息反馈评价，督促服务人员及服务平台持续优化服务，优化效率。</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7</w:t>
            </w:r>
            <w:r>
              <w:rPr>
                <w:rFonts w:asciiTheme="minorEastAsia" w:hAnsiTheme="minorEastAsia" w:eastAsiaTheme="minorEastAsia"/>
                <w:b/>
                <w:bCs/>
                <w:color w:val="000000" w:themeColor="text1"/>
                <w14:textFill>
                  <w14:solidFill>
                    <w14:schemeClr w14:val="tx1"/>
                  </w14:solidFill>
                </w14:textFill>
              </w:rPr>
              <w:t>.3</w:t>
            </w:r>
            <w:r>
              <w:rPr>
                <w:rFonts w:hint="eastAsia" w:asciiTheme="minorEastAsia" w:hAnsiTheme="minorEastAsia" w:eastAsiaTheme="minorEastAsia"/>
                <w:b/>
                <w:bCs/>
                <w:color w:val="000000" w:themeColor="text1"/>
                <w14:textFill>
                  <w14:solidFill>
                    <w14:schemeClr w14:val="tx1"/>
                  </w14:solidFill>
                </w14:textFill>
              </w:rPr>
              <w:t>通知公告</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通知公告可将国家政策、科研资讯等动态信息有效向科研人员推送展示，不仅在平台上可查，重点信息可通过短信、邮件、微信等方式直接推送至个人终端，解决政策“不知晓、难找到”的现实痛点。</w:t>
            </w: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7</w:t>
            </w:r>
            <w:r>
              <w:rPr>
                <w:rFonts w:asciiTheme="minorEastAsia" w:hAnsiTheme="minorEastAsia" w:eastAsiaTheme="minorEastAsia"/>
                <w:b/>
                <w:bCs/>
                <w:color w:val="000000" w:themeColor="text1"/>
                <w14:textFill>
                  <w14:solidFill>
                    <w14:schemeClr w14:val="tx1"/>
                  </w14:solidFill>
                </w14:textFill>
              </w:rPr>
              <w:t>.4</w:t>
            </w:r>
            <w:r>
              <w:rPr>
                <w:rFonts w:hint="eastAsia" w:asciiTheme="minorEastAsia" w:hAnsiTheme="minorEastAsia" w:eastAsiaTheme="minorEastAsia"/>
                <w:b/>
                <w:bCs/>
                <w:color w:val="000000" w:themeColor="text1"/>
                <w14:textFill>
                  <w14:solidFill>
                    <w14:schemeClr w14:val="tx1"/>
                  </w14:solidFill>
                </w14:textFill>
              </w:rPr>
              <w:t>▲个人中心</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个人中心可对个人科研数据进行全面展示和维护，包括个人的</w:t>
            </w:r>
            <w:r>
              <w:rPr>
                <w:rFonts w:hint="eastAsia" w:cs="仿宋" w:asciiTheme="minorEastAsia" w:hAnsiTheme="minorEastAsia" w:eastAsiaTheme="minorEastAsia"/>
                <w:color w:val="000000" w:themeColor="text1"/>
                <w14:textFill>
                  <w14:solidFill>
                    <w14:schemeClr w14:val="tx1"/>
                  </w14:solidFill>
                </w14:textFill>
              </w:rPr>
              <w:t>基本信息、</w:t>
            </w:r>
            <w:r>
              <w:rPr>
                <w:rFonts w:hint="eastAsia" w:asciiTheme="minorEastAsia" w:hAnsiTheme="minorEastAsia" w:eastAsiaTheme="minorEastAsia"/>
                <w:color w:val="000000" w:themeColor="text1"/>
                <w14:textFill>
                  <w14:solidFill>
                    <w14:schemeClr w14:val="tx1"/>
                  </w14:solidFill>
                </w14:textFill>
              </w:rPr>
              <w:t>科研项目、项目进展、科研经费、科研成果、科研奖励等数据，个人科研统计数据，科研业务的审核记录、变更记录可快捷查询。</w:t>
            </w:r>
          </w:p>
          <w:p>
            <w:pPr>
              <w:pStyle w:val="30"/>
              <w:ind w:firstLine="422"/>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7</w:t>
            </w:r>
            <w:r>
              <w:rPr>
                <w:rFonts w:asciiTheme="minorEastAsia" w:hAnsiTheme="minorEastAsia" w:eastAsiaTheme="minorEastAsia"/>
                <w:b/>
                <w:bCs/>
                <w:color w:val="000000" w:themeColor="text1"/>
                <w:szCs w:val="21"/>
                <w14:textFill>
                  <w14:solidFill>
                    <w14:schemeClr w14:val="tx1"/>
                  </w14:solidFill>
                </w14:textFill>
              </w:rPr>
              <w:t>.5</w:t>
            </w:r>
            <w:r>
              <w:rPr>
                <w:rFonts w:hint="eastAsia" w:asciiTheme="minorEastAsia" w:hAnsiTheme="minorEastAsia" w:eastAsiaTheme="minorEastAsia"/>
                <w:b/>
                <w:bCs/>
                <w:color w:val="000000" w:themeColor="text1"/>
                <w:szCs w:val="21"/>
                <w14:textFill>
                  <w14:solidFill>
                    <w14:schemeClr w14:val="tx1"/>
                  </w14:solidFill>
                </w14:textFill>
              </w:rPr>
              <w:t>文件管理</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各类科研文件管理，可发布和共享相关科研文件，供查询、浏览和下载。文书材料信息管理和维护。</w:t>
            </w:r>
          </w:p>
          <w:p>
            <w:pPr>
              <w:pStyle w:val="30"/>
              <w:ind w:firstLine="422"/>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7</w:t>
            </w:r>
            <w:r>
              <w:rPr>
                <w:rFonts w:asciiTheme="minorEastAsia" w:hAnsiTheme="minorEastAsia" w:eastAsiaTheme="minorEastAsia"/>
                <w:b/>
                <w:bCs/>
                <w:color w:val="000000" w:themeColor="text1"/>
                <w:szCs w:val="21"/>
                <w14:textFill>
                  <w14:solidFill>
                    <w14:schemeClr w14:val="tx1"/>
                  </w14:solidFill>
                </w14:textFill>
              </w:rPr>
              <w:t>.6</w:t>
            </w:r>
            <w:r>
              <w:rPr>
                <w:rFonts w:hint="eastAsia" w:asciiTheme="minorEastAsia" w:hAnsiTheme="minorEastAsia" w:eastAsiaTheme="minorEastAsia"/>
                <w:b/>
                <w:bCs/>
                <w:color w:val="000000" w:themeColor="text1"/>
                <w:szCs w:val="21"/>
                <w14:textFill>
                  <w14:solidFill>
                    <w14:schemeClr w14:val="tx1"/>
                  </w14:solidFill>
                </w14:textFill>
              </w:rPr>
              <w:t>互动交流</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提供互动交流功能，科研人员、科研管理人员等可在系统中互相留言交流。</w:t>
            </w:r>
          </w:p>
          <w:p>
            <w:pPr>
              <w:pStyle w:val="41"/>
              <w:rPr>
                <w:rFonts w:asciiTheme="minorEastAsia" w:hAnsiTheme="minorEastAsia" w:eastAsiaTheme="minorEastAsia"/>
                <w:color w:val="000000" w:themeColor="text1"/>
                <w14:textFill>
                  <w14:solidFill>
                    <w14:schemeClr w14:val="tx1"/>
                  </w14:solidFill>
                </w14:textFill>
              </w:rPr>
            </w:pPr>
          </w:p>
          <w:p>
            <w:pPr>
              <w:pStyle w:val="41"/>
              <w:ind w:firstLine="422"/>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8.</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b/>
                <w:bCs/>
                <w:color w:val="000000" w:themeColor="text1"/>
                <w14:textFill>
                  <w14:solidFill>
                    <w14:schemeClr w14:val="tx1"/>
                  </w14:solidFill>
                </w14:textFill>
              </w:rPr>
              <w:t>▲匹配移动端</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可以匹配移动端，以微信为例（H</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包也可以，嵌入到其他A</w:t>
            </w:r>
            <w:r>
              <w:rPr>
                <w:rFonts w:asciiTheme="minorEastAsia" w:hAnsiTheme="minorEastAsia" w:eastAsiaTheme="minorEastAsia"/>
                <w:color w:val="000000" w:themeColor="text1"/>
                <w14:textFill>
                  <w14:solidFill>
                    <w14:schemeClr w14:val="tx1"/>
                  </w14:solidFill>
                </w14:textFill>
              </w:rPr>
              <w:t>PP</w:t>
            </w:r>
            <w:r>
              <w:rPr>
                <w:rFonts w:hint="eastAsia" w:asciiTheme="minorEastAsia" w:hAnsiTheme="minorEastAsia" w:eastAsiaTheme="minorEastAsia"/>
                <w:color w:val="000000" w:themeColor="text1"/>
                <w14:textFill>
                  <w14:solidFill>
                    <w14:schemeClr w14:val="tx1"/>
                  </w14:solidFill>
                </w14:textFill>
              </w:rPr>
              <w:t>，可提供移动办公的需求即可）：</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接入实验室微信公众号，借助微信，实现科研动态信息（通知公告、待办事项、项目申报、经费入账、绩效发放、执行预警等）推送到个人以及移动查阅等功能，提升科研服务体验。</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利用微信公众号，向用户推送业务办理进展情况，如项目立项登记审核结果；</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利用微信公众号，向用户推送业务提醒，如经费认领通知、项目申报通知；</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利用微信公众号，向用户提供科研项目、经费、成果信息的自主交互查询；</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利用微信公众号，整合系统中科研动态信息，及时向用户推送最新科研动态和通知公告；</w:t>
            </w:r>
          </w:p>
          <w:p>
            <w:pPr>
              <w:pStyle w:val="4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用户科研系统账号与微信公众号绑定，采用手机短信绑定和账号绑定两种方式。</w:t>
            </w:r>
          </w:p>
          <w:p>
            <w:pPr>
              <w:pStyle w:val="30"/>
              <w:rPr>
                <w:rFonts w:asciiTheme="minorEastAsia" w:hAnsiTheme="minorEastAsia" w:eastAsiaTheme="minorEastAsia"/>
                <w:color w:val="000000" w:themeColor="text1"/>
                <w:szCs w:val="21"/>
                <w14:textFill>
                  <w14:solidFill>
                    <w14:schemeClr w14:val="tx1"/>
                  </w14:solidFill>
                </w14:textFill>
              </w:rPr>
            </w:pPr>
          </w:p>
          <w:p>
            <w:pPr>
              <w:pStyle w:val="30"/>
              <w:ind w:firstLine="422"/>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9</w:t>
            </w:r>
            <w:r>
              <w:rPr>
                <w:rFonts w:asciiTheme="minorEastAsia" w:hAnsiTheme="minorEastAsia" w:eastAsiaTheme="minorEastAsia"/>
                <w:b/>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b/>
                <w:bCs/>
                <w:color w:val="000000" w:themeColor="text1"/>
                <w:szCs w:val="21"/>
                <w14:textFill>
                  <w14:solidFill>
                    <w14:schemeClr w14:val="tx1"/>
                  </w14:solidFill>
                </w14:textFill>
              </w:rPr>
              <w:t>▲科研数据分析与决策</w:t>
            </w:r>
          </w:p>
          <w:p>
            <w:pPr>
              <w:pStyle w:val="30"/>
              <w:ind w:firstLine="422"/>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9</w:t>
            </w:r>
            <w:r>
              <w:rPr>
                <w:rFonts w:asciiTheme="minorEastAsia" w:hAnsiTheme="minorEastAsia" w:eastAsiaTheme="minorEastAsia"/>
                <w:b/>
                <w:bCs/>
                <w:color w:val="000000" w:themeColor="text1"/>
                <w:szCs w:val="21"/>
                <w14:textFill>
                  <w14:solidFill>
                    <w14:schemeClr w14:val="tx1"/>
                  </w14:solidFill>
                </w14:textFill>
              </w:rPr>
              <w:t>.1</w:t>
            </w:r>
            <w:r>
              <w:rPr>
                <w:rFonts w:hint="eastAsia" w:asciiTheme="minorEastAsia" w:hAnsiTheme="minorEastAsia" w:eastAsiaTheme="minorEastAsia"/>
                <w:b/>
                <w:bCs/>
                <w:color w:val="000000" w:themeColor="text1"/>
                <w:szCs w:val="21"/>
                <w14:textFill>
                  <w14:solidFill>
                    <w14:schemeClr w14:val="tx1"/>
                  </w14:solidFill>
                </w14:textFill>
              </w:rPr>
              <w:t>科研数据汇编</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实现科研数据跨表/跨模块聚合、查询、筛选和汇编，快速生成各类科研基础数据报表，服务于各类科研数据统计分析需求。</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数据表编制：自定义科研数据汇编表，支持跨表/跨模块（人员、项目、经费、成果以及机构等）科研数据汇编、筛选和排序，支持数汇表子集内容多行多列合并展现，支持数汇表保存、导出（Excel或者PDF），支持已有数汇表快捷检索。</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数据表分享：可创建数汇表分享链接，支持跨系统查看数汇表结果，支持页面嵌入方式展示。可添加到实验室其他系统，作为数据表入口，或者直接分享给个人。</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历史记录：记录和查看用户对数据表的操作历史记录，包含构建、查看、共享查看等。</w:t>
            </w:r>
          </w:p>
          <w:p>
            <w:pPr>
              <w:pStyle w:val="30"/>
              <w:ind w:firstLine="422"/>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9</w:t>
            </w:r>
            <w:r>
              <w:rPr>
                <w:rFonts w:hint="eastAsia" w:asciiTheme="minorEastAsia" w:hAnsiTheme="minorEastAsia" w:eastAsiaTheme="minorEastAsia"/>
                <w:b/>
                <w:bCs/>
                <w:color w:val="000000" w:themeColor="text1"/>
                <w:szCs w:val="21"/>
                <w14:textFill>
                  <w14:solidFill>
                    <w14:schemeClr w14:val="tx1"/>
                  </w14:solidFill>
                </w14:textFill>
              </w:rPr>
              <w:t>.2图形报表</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以业务为主线，根据常用的科研数据或关注度较高的科研数据构建直观、形象、生动、具体的统计图，使复杂的统计数字简单化、通俗化、形象化，使人一目了然，便于理解和比较。既要考察图的直观形象，又要注意核对数据，所以在查看图形的同时也可以在数字形式间自由切换。</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基本统计图要求如下：年度单位科研数据图表、年度项目经费构成图表、项目任务进度统计表、项目经费执行率统计表、项目分类统计图表、项目拨款类提成统计图表、近五年到账情况统计图表、各项目群到款统计图表、项目分类到款统计图表、年度项目数额分布统计图表。</w:t>
            </w:r>
          </w:p>
          <w:p>
            <w:pPr>
              <w:pStyle w:val="30"/>
              <w:ind w:firstLine="422"/>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9.3科研驾驶舱</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实验室科研数据一张图，动态反应实验室科研整体状态。</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统计数据：</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统计项目类（含自主项目、纵向项目、战略项目）当前年份立项通过的在研项目，截止到当前日期的项目数总量，同时和上一年份同一时间段范围的数据做同比，标示数据上升或下降的百分比。</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统计成果类（含专利、论文、获奖、著作权、标准等）当前年份审核通过的成果，截止到当前日期的成果总量，同时和上一年份同一时间段范围的数据做同比，标示数据上升或下降的百分比。</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年度立项项目分布（含当年总立项数和当年总预算）：统计当前年度审核通过的各类项目数量总和，以及当前年度审核通过的各类项目批复金额总和（总预算）。</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年度论文情况：统计当年审核通过的论文数据中心，SCI、EI、CPCI类论文的各自数量，以及分别作为第一单位和参与单位的论文总数量。</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年度专利情况：统计当年审核通过的状态为申请和授权的各自专利数量，以及统计当年审核通过的各分类专利数量(仅统计当年已授权的发明专利、实用新型、外观设计、一案两提)</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年度获奖情况：统计当年审核通过的国家级、省部级、地市级、其他各个等级的获奖总数量。</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当年科技类经费构成：统计当年审核通过的科技类项目中各个项目来源在项目到账经费中的占比情况。</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项目群到款：统计当年各个项目群审核通过的到账总金额。</w:t>
            </w:r>
          </w:p>
          <w:p>
            <w:pPr>
              <w:pStyle w:val="30"/>
              <w:rPr>
                <w:rFonts w:asciiTheme="minorEastAsia" w:hAnsiTheme="minorEastAsia" w:eastAsiaTheme="minorEastAsia"/>
                <w:color w:val="000000" w:themeColor="text1"/>
                <w:szCs w:val="21"/>
                <w14:textFill>
                  <w14:solidFill>
                    <w14:schemeClr w14:val="tx1"/>
                  </w14:solidFill>
                </w14:textFill>
              </w:rPr>
            </w:pPr>
          </w:p>
          <w:p>
            <w:pPr>
              <w:pStyle w:val="30"/>
              <w:ind w:firstLine="422"/>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1</w:t>
            </w:r>
            <w:r>
              <w:rPr>
                <w:rFonts w:asciiTheme="minorEastAsia" w:hAnsiTheme="minorEastAsia" w:eastAsiaTheme="minorEastAsia"/>
                <w:b/>
                <w:bCs/>
                <w:color w:val="000000" w:themeColor="text1"/>
                <w:szCs w:val="21"/>
                <w14:textFill>
                  <w14:solidFill>
                    <w14:schemeClr w14:val="tx1"/>
                  </w14:solidFill>
                </w14:textFill>
              </w:rPr>
              <w:t>0.</w:t>
            </w:r>
            <w:r>
              <w:rPr>
                <w:rFonts w:hint="eastAsia" w:asciiTheme="minorEastAsia" w:hAnsiTheme="minorEastAsia" w:eastAsiaTheme="minorEastAsia"/>
                <w:b/>
                <w:bCs/>
                <w:color w:val="000000" w:themeColor="text1"/>
                <w:szCs w:val="21"/>
                <w14:textFill>
                  <w14:solidFill>
                    <w14:schemeClr w14:val="tx1"/>
                  </w14:solidFill>
                </w14:textFill>
              </w:rPr>
              <w:t>系统安全</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上线前须进行网络安全检测和评估，确保达到《教育信息系统安全等级保护定级指南》第三级标准。</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强化安全措施，如：安全认证（支持单点登录）、权限管理（三权分立：用户管理员、授权管理员、审计管理）、日志管理、内容审计、漏洞扫描、入侵检测、病毒防范、双机备份，加强安全体系与安全保障体系建设。</w:t>
            </w:r>
          </w:p>
          <w:p>
            <w:pPr>
              <w:pStyle w:val="3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建立应急灾备系统。配合厦门大学信息中心（本系统硬件系统将依托于厦门大学信息中心搭建），建立学校统一的系统应急备份环境，提出应用系统和数据备份要求以及系统恢复能力要求。</w:t>
            </w:r>
          </w:p>
          <w:p>
            <w:pPr>
              <w:pStyle w:val="30"/>
              <w:rPr>
                <w:rFonts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（二）设计原则</w:t>
            </w:r>
          </w:p>
          <w:p>
            <w:pPr>
              <w:ind w:firstLine="420"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1</w:t>
            </w:r>
            <w:r>
              <w:rPr>
                <w:rFonts w:asciiTheme="minorEastAsia" w:hAnsiTheme="minorEastAsia" w:eastAsiaTheme="minorEastAsia"/>
                <w:b/>
                <w:bCs/>
                <w:color w:val="000000" w:themeColor="text1"/>
                <w:szCs w:val="21"/>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稳定性</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系统架构设计合理，结合必要的集群、热备等手段，保证系统不间断运行。系统用户数量不受限制（</w:t>
            </w:r>
            <w:r>
              <w:rPr>
                <w:rFonts w:hint="eastAsia" w:asciiTheme="minorEastAsia" w:hAnsiTheme="minorEastAsia" w:eastAsiaTheme="minorEastAsia"/>
                <w:color w:val="000000" w:themeColor="text1"/>
                <w:szCs w:val="21"/>
                <w14:textFill>
                  <w14:solidFill>
                    <w14:schemeClr w14:val="tx1"/>
                  </w14:solidFill>
                </w14:textFill>
              </w:rPr>
              <w:sym w:font="Wingdings 2" w:char="F0EA"/>
            </w:r>
            <w:r>
              <w:rPr>
                <w:rFonts w:hint="eastAsia" w:asciiTheme="minorEastAsia" w:hAnsiTheme="minorEastAsia" w:eastAsiaTheme="minorEastAsia"/>
                <w:b/>
                <w:bCs/>
                <w:color w:val="000000" w:themeColor="text1"/>
                <w:szCs w:val="21"/>
                <w14:textFill>
                  <w14:solidFill>
                    <w14:schemeClr w14:val="tx1"/>
                  </w14:solidFill>
                </w14:textFill>
              </w:rPr>
              <w:t>用户注册数量增加，不收取额外费用</w:t>
            </w:r>
            <w:r>
              <w:rPr>
                <w:rFonts w:hint="eastAsia" w:asciiTheme="minorEastAsia" w:hAnsiTheme="minorEastAsia" w:eastAsiaTheme="minorEastAsia"/>
                <w:color w:val="000000" w:themeColor="text1"/>
                <w:szCs w:val="21"/>
                <w14:textFill>
                  <w14:solidFill>
                    <w14:schemeClr w14:val="tx1"/>
                  </w14:solidFill>
                </w14:textFill>
              </w:rPr>
              <w:t>），可确保支持2000人同时在线访问及400用户的并发访问基础上满足采购人的实际需求量；并在系统上线前，通过设计好的压力测试确保系统满足采购人对同时在线用户数和并发用户数的实际需求。系统可以全天候7*24天不间断运行，不会因为程序错误导致响应失败或者系统崩溃。数据库设计要保证实现数据高效查询检索、数据更新及数据调用。</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2</w:t>
            </w:r>
            <w:r>
              <w:rPr>
                <w:rFonts w:asciiTheme="minorEastAsia" w:hAnsiTheme="minorEastAsia" w:eastAsiaTheme="minorEastAsia"/>
                <w:b/>
                <w:bCs/>
                <w:color w:val="000000" w:themeColor="text1"/>
                <w:szCs w:val="21"/>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兼容性</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基于Html5语言构建，系统应保证Windows 10及其以上版本客户端的正常使用，浏览器兼容IE10及其以上版本 ，并同时兼容非IE内核浏览器，如谷歌、火狐、搜狗等。</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3</w:t>
            </w:r>
            <w:r>
              <w:rPr>
                <w:rFonts w:asciiTheme="minorEastAsia" w:hAnsiTheme="minorEastAsia" w:eastAsiaTheme="minorEastAsia"/>
                <w:b/>
                <w:bCs/>
                <w:color w:val="000000" w:themeColor="text1"/>
                <w:szCs w:val="21"/>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安全性</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提供的数据加密机制，确保数据存储和数据传输安全；2）提供的鉴权机制，按业务要求实现功能分级，并对用户分级授权；3）确保现有业务都能通过网络操作完成。4）系统采用分级管理模式，对不同级别用户的操作权限和数据访问范围有严格的限制，系统管理员可以根据学校情况灵活设置安全策略。</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4</w:t>
            </w:r>
            <w:r>
              <w:rPr>
                <w:rFonts w:asciiTheme="minorEastAsia" w:hAnsiTheme="minorEastAsia" w:eastAsiaTheme="minorEastAsia"/>
                <w:b/>
                <w:bCs/>
                <w:color w:val="000000" w:themeColor="text1"/>
                <w:szCs w:val="21"/>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可审计</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系统具备日志跟踪与分析功能，提供用户操作日志，提供查询方式，供追溯和追责。</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5</w:t>
            </w:r>
            <w:r>
              <w:rPr>
                <w:rFonts w:asciiTheme="minorEastAsia" w:hAnsiTheme="minorEastAsia" w:eastAsiaTheme="minorEastAsia"/>
                <w:b/>
                <w:bCs/>
                <w:color w:val="000000" w:themeColor="text1"/>
                <w:szCs w:val="21"/>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可靠性</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系统运行稳定可靠，充分考虑冗余问题，要在系统设计范围内保证随着系统数据量的增加，系统性能不出现下降。</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6</w:t>
            </w:r>
            <w:r>
              <w:rPr>
                <w:rFonts w:asciiTheme="minorEastAsia" w:hAnsiTheme="minorEastAsia" w:eastAsiaTheme="minorEastAsia"/>
                <w:b/>
                <w:bCs/>
                <w:color w:val="000000" w:themeColor="text1"/>
                <w:szCs w:val="21"/>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可扩展性</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系统架构设计可满足业务变化引起的系统功能升级。科研管理大数据服务平台是业务性非常强的应用系统，为保证系统的易用性和可操作性，在系统中为不同类型的用户专门设计的符合其操作习惯的用户界面和操作流程，确保系统的简单易用。</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7.</w:t>
            </w:r>
            <w:r>
              <w:rPr>
                <w:rFonts w:hint="eastAsia" w:asciiTheme="minorEastAsia" w:hAnsiTheme="minorEastAsia" w:eastAsiaTheme="minorEastAsia"/>
                <w:b/>
                <w:bCs/>
                <w:color w:val="000000" w:themeColor="text1"/>
                <w:szCs w:val="21"/>
                <w14:textFill>
                  <w14:solidFill>
                    <w14:schemeClr w14:val="tx1"/>
                  </w14:solidFill>
                </w14:textFill>
              </w:rPr>
              <w:t>易维护性</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用代码维护、公式调整、参数配置等手段，确保用户可自行维护系统基础设置数据项。系统采用纯B/S结构，系统升级和日常维护只需要在服务器进行即可。系统为管理员提供了丰富的系统设置和维护功能，包括用户和权限设置、字段维护、代码表维护、日志监控、数据批量处理、远程备份、数据同步等等，让管理员在办公室就可以对系统进行各项日常维护工作。</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8.</w:t>
            </w:r>
            <w:r>
              <w:rPr>
                <w:rFonts w:hint="eastAsia" w:asciiTheme="minorEastAsia" w:hAnsiTheme="minorEastAsia" w:eastAsiaTheme="minorEastAsia"/>
                <w:b/>
                <w:bCs/>
                <w:color w:val="000000" w:themeColor="text1"/>
                <w:szCs w:val="21"/>
                <w14:textFill>
                  <w14:solidFill>
                    <w14:schemeClr w14:val="tx1"/>
                  </w14:solidFill>
                </w14:textFill>
              </w:rPr>
              <w:t>易操作性</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系统设计符合业界通用规范和习惯用法，满足非专业用户的日常使用。</w:t>
            </w:r>
          </w:p>
          <w:p>
            <w:pPr>
              <w:adjustRightInd w:val="0"/>
              <w:snapToGri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p>
          <w:p>
            <w:pPr>
              <w:ind w:firstLine="420" w:firstLineChars="200"/>
              <w:rPr>
                <w:rFonts w:asciiTheme="minorEastAsia" w:hAnsiTheme="minorEastAsia" w:eastAsiaTheme="minorEastAsia"/>
                <w:color w:val="000000" w:themeColor="text1"/>
                <w:szCs w:val="21"/>
                <w14:textFill>
                  <w14:solidFill>
                    <w14:schemeClr w14:val="tx1"/>
                  </w14:solidFill>
                </w14:textFill>
              </w:rPr>
            </w:pPr>
          </w:p>
          <w:p>
            <w:pPr>
              <w:pStyle w:val="41"/>
              <w:ind w:firstLine="0" w:firstLineChars="0"/>
              <w:rPr>
                <w:rFonts w:asciiTheme="minorEastAsia" w:hAnsiTheme="minorEastAsia" w:eastAsiaTheme="minorEastAsia"/>
                <w:color w:val="000000" w:themeColor="text1"/>
                <w14:textFill>
                  <w14:solidFill>
                    <w14:schemeClr w14:val="tx1"/>
                  </w14:solidFill>
                </w14:textFill>
              </w:rPr>
            </w:pPr>
          </w:p>
        </w:tc>
        <w:tc>
          <w:tcPr>
            <w:tcW w:w="149"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套</w:t>
            </w:r>
          </w:p>
        </w:tc>
        <w:tc>
          <w:tcPr>
            <w:tcW w:w="200" w:type="pct"/>
            <w:shd w:val="clear" w:color="auto" w:fill="auto"/>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p>
        </w:tc>
        <w:tc>
          <w:tcPr>
            <w:tcW w:w="360" w:type="pct"/>
          </w:tcPr>
          <w:p>
            <w:pPr>
              <w:jc w:val="center"/>
              <w:rPr>
                <w:rFonts w:ascii="宋体" w:hAnsi="宋体"/>
                <w:b/>
                <w:bCs/>
                <w:color w:val="000000" w:themeColor="text1"/>
                <w:sz w:val="24"/>
                <w14:textFill>
                  <w14:solidFill>
                    <w14:schemeClr w14:val="tx1"/>
                  </w14:solidFill>
                </w14:textFill>
              </w:rPr>
            </w:pPr>
          </w:p>
        </w:tc>
      </w:tr>
    </w:tbl>
    <w:p>
      <w:pPr>
        <w:spacing w:line="360" w:lineRule="auto"/>
        <w:rPr>
          <w:b/>
          <w:bCs/>
          <w:color w:val="000000" w:themeColor="text1"/>
          <w:sz w:val="28"/>
          <w14:textFill>
            <w14:solidFill>
              <w14:schemeClr w14:val="tx1"/>
            </w14:solidFill>
          </w14:textFill>
        </w:rPr>
        <w:sectPr>
          <w:pgSz w:w="16838" w:h="11906" w:orient="landscape"/>
          <w:pgMar w:top="1701" w:right="1440" w:bottom="1701" w:left="1440" w:header="851" w:footer="992" w:gutter="0"/>
          <w:cols w:space="425" w:num="1"/>
          <w:docGrid w:type="linesAndChars" w:linePitch="312" w:charSpace="0"/>
        </w:sectPr>
      </w:pPr>
    </w:p>
    <w:p>
      <w:pPr>
        <w:spacing w:line="360" w:lineRule="auto"/>
        <w:rPr>
          <w:rFonts w:ascii="Arial" w:hAnsi="宋体" w:cs="Arial"/>
          <w:color w:val="000000" w:themeColor="text1"/>
          <w:sz w:val="24"/>
          <w:szCs w:val="21"/>
          <w14:textFill>
            <w14:solidFill>
              <w14:schemeClr w14:val="tx1"/>
            </w14:solidFill>
          </w14:textFill>
        </w:rPr>
      </w:pPr>
      <w:r>
        <w:rPr>
          <w:rFonts w:hint="eastAsia"/>
          <w:b/>
          <w:bCs/>
          <w:color w:val="000000" w:themeColor="text1"/>
          <w:sz w:val="28"/>
          <w14:textFill>
            <w14:solidFill>
              <w14:schemeClr w14:val="tx1"/>
            </w14:solidFill>
          </w14:textFill>
        </w:rPr>
        <w:t>二、采购要求</w:t>
      </w:r>
    </w:p>
    <w:p>
      <w:pPr>
        <w:tabs>
          <w:tab w:val="left" w:pos="0"/>
          <w:tab w:val="left" w:pos="540"/>
          <w:tab w:val="left" w:pos="780"/>
        </w:tabs>
        <w:spacing w:line="360" w:lineRule="auto"/>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（一）报价人应根据本采购文件中提出的技术要求，在报价文件中提供技术应答书或技术建议书，并在技术偏离表中一一对应标注清楚。</w:t>
      </w:r>
    </w:p>
    <w:p>
      <w:pPr>
        <w:tabs>
          <w:tab w:val="left" w:pos="0"/>
          <w:tab w:val="left" w:pos="540"/>
          <w:tab w:val="left" w:pos="780"/>
        </w:tabs>
        <w:spacing w:line="360" w:lineRule="auto"/>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（二）报价人必须提供营业执照有效复印件以及企业法定代表人对报价代表的授权书原件。</w:t>
      </w:r>
      <w:r>
        <w:rPr>
          <w:rFonts w:hint="eastAsia"/>
          <w:color w:val="000000" w:themeColor="text1"/>
          <w:sz w:val="24"/>
          <w14:textFill>
            <w14:solidFill>
              <w14:schemeClr w14:val="tx1"/>
            </w14:solidFill>
          </w14:textFill>
        </w:rPr>
        <w:t>报价代表必须为报价单位员工，需提供身份证明及医社保缴交证明材料。</w:t>
      </w:r>
    </w:p>
    <w:p>
      <w:pPr>
        <w:tabs>
          <w:tab w:val="left" w:pos="0"/>
          <w:tab w:val="left" w:pos="540"/>
          <w:tab w:val="left" w:pos="780"/>
        </w:tabs>
        <w:spacing w:line="360" w:lineRule="auto"/>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三）报价文件必须包含投标书、开标一览表、投标货物说明一览表、供货配置清单、产品技术偏离表、资格证明文件、投标货物生产经销代理证明或授权书（经销商或代理商）、售后服务承诺及本招标文件要求的其他主要内容，以上材料须加盖投标人公章。</w:t>
      </w:r>
    </w:p>
    <w:p>
      <w:pPr>
        <w:tabs>
          <w:tab w:val="left" w:pos="0"/>
          <w:tab w:val="left" w:pos="540"/>
          <w:tab w:val="left" w:pos="780"/>
        </w:tabs>
        <w:spacing w:line="360" w:lineRule="auto"/>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（四）本次采购的报价文件需正本</w:t>
      </w:r>
      <w:r>
        <w:rPr>
          <w:rFonts w:ascii="Arial" w:hAnsi="宋体" w:cs="Arial"/>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份、副本3份。</w:t>
      </w:r>
    </w:p>
    <w:p>
      <w:pPr>
        <w:tabs>
          <w:tab w:val="left" w:pos="0"/>
          <w:tab w:val="left" w:pos="540"/>
        </w:tabs>
        <w:spacing w:line="360" w:lineRule="auto"/>
        <w:rPr>
          <w:rFonts w:ascii="Arial" w:hAnsi="宋体" w:cs="Arial"/>
          <w:color w:val="000000" w:themeColor="text1"/>
          <w:sz w:val="24"/>
          <w:szCs w:val="21"/>
          <w14:textFill>
            <w14:solidFill>
              <w14:schemeClr w14:val="tx1"/>
            </w14:solidFill>
          </w14:textFill>
        </w:rPr>
      </w:pPr>
      <w:r>
        <w:rPr>
          <w:rFonts w:hint="eastAsia" w:ascii="宋体" w:hAnsi="宋体"/>
          <w:color w:val="000000" w:themeColor="text1"/>
          <w:sz w:val="24"/>
          <w14:textFill>
            <w14:solidFill>
              <w14:schemeClr w14:val="tx1"/>
            </w14:solidFill>
          </w14:textFill>
        </w:rPr>
        <w:t>（五）合同签订：中标供应商接到中标通知后，持中标通知书与嘉庚创新实验室资产采购管理室处签订合同。投标文件、中标供应商的投标文件及其澄清文件均作为签订技术和服务协议、合同订立的基础。</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三、报价要求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以人民币方式进行报价，投标总价包含项目启动、试运行、上线等、经用户验收小组验收合格并交付使用期间可能发生的费用，包括系统所需设备及图纸设计中所涉及的一切材料、采购保管、运输、安装调试、施工配合费、技术服务与培训、售后服务以及税收、规费等一切费用。本次采购为交钥匙项目。</w:t>
      </w:r>
    </w:p>
    <w:p>
      <w:pPr>
        <w:spacing w:before="312" w:beforeLines="100" w:after="312" w:afterLines="100" w:line="360" w:lineRule="auto"/>
        <w:jc w:val="left"/>
        <w:rPr>
          <w:color w:val="000000" w:themeColor="text1"/>
          <w:sz w:val="24"/>
          <w14:textFill>
            <w14:solidFill>
              <w14:schemeClr w14:val="tx1"/>
            </w14:solidFill>
          </w14:textFill>
        </w:rPr>
      </w:pPr>
      <w:r>
        <w:rPr>
          <w:rFonts w:hint="eastAsia"/>
          <w:b/>
          <w:color w:val="000000" w:themeColor="text1"/>
          <w:sz w:val="28"/>
          <w:szCs w:val="28"/>
          <w14:textFill>
            <w14:solidFill>
              <w14:schemeClr w14:val="tx1"/>
            </w14:solidFill>
          </w14:textFill>
        </w:rPr>
        <w:t>四、商务要求</w:t>
      </w:r>
    </w:p>
    <w:p>
      <w:pPr>
        <w:pStyle w:val="2"/>
        <w:spacing w:before="312" w:beforeLines="100" w:after="312" w:afterLines="100" w:line="360" w:lineRule="auto"/>
        <w:jc w:val="both"/>
        <w:rPr>
          <w:rFonts w:asciiTheme="majorEastAsia" w:hAnsiTheme="majorEastAsia" w:eastAsiaTheme="majorEastAsia" w:cstheme="majorEastAsia"/>
          <w:color w:val="000000" w:themeColor="text1"/>
          <w:kern w:val="0"/>
          <w:sz w:val="24"/>
          <w:szCs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（一）</w:t>
      </w:r>
      <w:r>
        <w:rPr>
          <w:rFonts w:hint="eastAsia" w:asciiTheme="majorEastAsia" w:hAnsiTheme="majorEastAsia" w:eastAsiaTheme="majorEastAsia" w:cstheme="majorEastAsia"/>
          <w:color w:val="000000" w:themeColor="text1"/>
          <w:kern w:val="0"/>
          <w:sz w:val="24"/>
          <w:szCs w:val="24"/>
          <w:lang w:val="zh-CN"/>
          <w14:textFill>
            <w14:solidFill>
              <w14:schemeClr w14:val="tx1"/>
            </w14:solidFill>
          </w14:textFill>
        </w:rPr>
        <w:t>实施要求</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1.合同签订后，6</w:t>
      </w:r>
      <w:r>
        <w:rPr>
          <w:rFonts w:hint="eastAsia"/>
          <w:color w:val="000000" w:themeColor="text1"/>
          <w:sz w:val="24"/>
          <w14:textFill>
            <w14:solidFill>
              <w14:schemeClr w14:val="tx1"/>
            </w14:solidFill>
          </w14:textFill>
        </w:rPr>
        <w:t>个月内完成用户（包括科研管理者、一线科研人员等）深度调研、系统开发、部署和上线试运行，交付验收。</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 </w:t>
      </w:r>
      <w:r>
        <w:rPr>
          <w:rFonts w:hint="eastAsia"/>
          <w:color w:val="000000" w:themeColor="text1"/>
          <w:sz w:val="24"/>
          <w14:textFill>
            <w14:solidFill>
              <w14:schemeClr w14:val="tx1"/>
            </w14:solidFill>
          </w14:textFill>
        </w:rPr>
        <w:t>疫情防控期间，承诺在项目建设和运行期间，严格遵守厦门大学和嘉庚创新实验室疫情防控及厦门大学校园安全管理有关规定。</w:t>
      </w:r>
    </w:p>
    <w:p>
      <w:pPr>
        <w:pStyle w:val="2"/>
        <w:spacing w:before="312" w:beforeLines="100" w:after="312" w:afterLines="100" w:line="360" w:lineRule="auto"/>
        <w:jc w:val="left"/>
        <w:rPr>
          <w:rFonts w:asciiTheme="majorEastAsia" w:hAnsiTheme="majorEastAsia" w:eastAsiaTheme="majorEastAsia" w:cstheme="majorEastAsia"/>
          <w:color w:val="000000" w:themeColor="text1"/>
          <w:kern w:val="0"/>
          <w:sz w:val="24"/>
          <w:szCs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（二）</w:t>
      </w:r>
      <w:r>
        <w:rPr>
          <w:rFonts w:hint="eastAsia" w:asciiTheme="majorEastAsia" w:hAnsiTheme="majorEastAsia" w:eastAsiaTheme="majorEastAsia" w:cstheme="majorEastAsia"/>
          <w:color w:val="000000" w:themeColor="text1"/>
          <w:kern w:val="0"/>
          <w:sz w:val="24"/>
          <w:szCs w:val="24"/>
          <w:lang w:val="zh-CN"/>
          <w14:textFill>
            <w14:solidFill>
              <w14:schemeClr w14:val="tx1"/>
            </w14:solidFill>
          </w14:textFill>
        </w:rPr>
        <w:t>服务要求</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投标人提出明确的售后服务方案、售后服务承诺、培训计划、目标和培训课程内容，保证培训成效的措施，且售后服务方案合理，服务响应迅速，售后服务体系完善。包括能在贰年内免费新增部分功能内容、免费调整更新内容、免费无条件完善系统等，均能列出具体的清单。</w:t>
      </w:r>
    </w:p>
    <w:p>
      <w:pPr>
        <w:tabs>
          <w:tab w:val="left" w:pos="0"/>
          <w:tab w:val="left" w:pos="540"/>
        </w:tabs>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14:textFill>
            <w14:solidFill>
              <w14:schemeClr w14:val="tx1"/>
            </w14:solidFill>
          </w14:textFill>
        </w:rPr>
        <w:t>1、系统维护期（质保期）：系统验收通过后提供</w:t>
      </w:r>
      <w:r>
        <w:rPr>
          <w:rFonts w:hint="eastAsia" w:asciiTheme="majorEastAsia" w:hAnsiTheme="majorEastAsia" w:eastAsiaTheme="majorEastAsia" w:cstheme="majorEastAsia"/>
          <w:color w:val="000000" w:themeColor="text1"/>
          <w:sz w:val="24"/>
          <w14:textFill>
            <w14:solidFill>
              <w14:schemeClr w14:val="tx1"/>
            </w14:solidFill>
          </w14:textFill>
        </w:rPr>
        <w:t>二年以上的售后质保技术服务。系统验收合格结束后要求对系统提供工作日每天</w:t>
      </w:r>
      <w:r>
        <w:rPr>
          <w:rFonts w:asciiTheme="majorEastAsia" w:hAnsiTheme="majorEastAsia" w:eastAsiaTheme="majorEastAsia" w:cstheme="majorEastAsia"/>
          <w:color w:val="000000" w:themeColor="text1"/>
          <w:sz w:val="24"/>
          <w14:textFill>
            <w14:solidFill>
              <w14:schemeClr w14:val="tx1"/>
            </w14:solidFill>
          </w14:textFill>
        </w:rPr>
        <w:t>8小时的实时技术支持响应服务。出现系统故障给予问题的解答</w:t>
      </w:r>
      <w:r>
        <w:rPr>
          <w:rFonts w:hint="eastAsia" w:asciiTheme="majorEastAsia" w:hAnsiTheme="majorEastAsia" w:eastAsiaTheme="majorEastAsia" w:cstheme="majorEastAsia"/>
          <w:color w:val="000000" w:themeColor="text1"/>
          <w:sz w:val="24"/>
          <w14:textFill>
            <w14:solidFill>
              <w14:schemeClr w14:val="tx1"/>
            </w14:solidFill>
          </w14:textFill>
        </w:rPr>
        <w:t>，原则上</w:t>
      </w:r>
      <w:r>
        <w:rPr>
          <w:rFonts w:asciiTheme="majorEastAsia" w:hAnsiTheme="majorEastAsia" w:eastAsiaTheme="majorEastAsia" w:cstheme="majorEastAsia"/>
          <w:color w:val="000000" w:themeColor="text1"/>
          <w:sz w:val="24"/>
          <w14:textFill>
            <w14:solidFill>
              <w14:schemeClr w14:val="tx1"/>
            </w14:solidFill>
          </w14:textFill>
        </w:rPr>
        <w:t>2小时内解决问题；</w:t>
      </w:r>
      <w:r>
        <w:rPr>
          <w:rFonts w:hint="eastAsia" w:asciiTheme="majorEastAsia" w:hAnsiTheme="majorEastAsia" w:eastAsiaTheme="majorEastAsia" w:cstheme="majorEastAsia"/>
          <w:color w:val="000000" w:themeColor="text1"/>
          <w:sz w:val="24"/>
          <w14:textFill>
            <w14:solidFill>
              <w14:schemeClr w14:val="tx1"/>
            </w14:solidFill>
          </w14:textFill>
        </w:rPr>
        <w:t>如需现场解决，在故障发生的</w:t>
      </w:r>
      <w:r>
        <w:rPr>
          <w:rFonts w:asciiTheme="majorEastAsia" w:hAnsiTheme="majorEastAsia" w:eastAsiaTheme="majorEastAsia" w:cstheme="majorEastAsia"/>
          <w:color w:val="000000" w:themeColor="text1"/>
          <w:sz w:val="24"/>
          <w14:textFill>
            <w14:solidFill>
              <w14:schemeClr w14:val="tx1"/>
            </w14:solidFill>
          </w14:textFill>
        </w:rPr>
        <w:t xml:space="preserve"> 24小时内，派技术人员到达现场，原则上36</w:t>
      </w:r>
      <w:r>
        <w:rPr>
          <w:rFonts w:hint="eastAsia" w:asciiTheme="majorEastAsia" w:hAnsiTheme="majorEastAsia" w:eastAsiaTheme="majorEastAsia" w:cstheme="majorEastAsia"/>
          <w:color w:val="000000" w:themeColor="text1"/>
          <w:sz w:val="24"/>
          <w14:textFill>
            <w14:solidFill>
              <w14:schemeClr w14:val="tx1"/>
            </w14:solidFill>
          </w14:textFill>
        </w:rPr>
        <w:t>小时内解决问题。对于发现的软件自身功能问题，须免费提供永久支持、及时给予圆满解决；在远程维护无法解决问题的情况下，要派遣技术人员上门解决。质量保证期内，停机待修时间不得超过</w:t>
      </w:r>
      <w:r>
        <w:rPr>
          <w:rFonts w:asciiTheme="majorEastAsia" w:hAnsiTheme="majorEastAsia" w:eastAsiaTheme="majorEastAsia" w:cstheme="majorEastAsia"/>
          <w:color w:val="000000" w:themeColor="text1"/>
          <w:sz w:val="24"/>
          <w14:textFill>
            <w14:solidFill>
              <w14:schemeClr w14:val="tx1"/>
            </w14:solidFill>
          </w14:textFill>
        </w:rPr>
        <w:t xml:space="preserve"> 2 </w:t>
      </w:r>
      <w:r>
        <w:rPr>
          <w:rFonts w:hint="eastAsia" w:asciiTheme="majorEastAsia" w:hAnsiTheme="majorEastAsia" w:eastAsiaTheme="majorEastAsia" w:cstheme="majorEastAsia"/>
          <w:color w:val="000000" w:themeColor="text1"/>
          <w:sz w:val="24"/>
          <w14:textFill>
            <w14:solidFill>
              <w14:schemeClr w14:val="tx1"/>
            </w14:solidFill>
          </w14:textFill>
        </w:rPr>
        <w:t>天，若超过</w:t>
      </w:r>
      <w:r>
        <w:rPr>
          <w:rFonts w:asciiTheme="majorEastAsia" w:hAnsiTheme="majorEastAsia" w:eastAsiaTheme="majorEastAsia" w:cstheme="majorEastAsia"/>
          <w:color w:val="000000" w:themeColor="text1"/>
          <w:sz w:val="24"/>
          <w14:textFill>
            <w14:solidFill>
              <w14:schemeClr w14:val="tx1"/>
            </w14:solidFill>
          </w14:textFill>
        </w:rPr>
        <w:t xml:space="preserve"> 2 </w:t>
      </w:r>
      <w:r>
        <w:rPr>
          <w:rFonts w:hint="eastAsia" w:asciiTheme="majorEastAsia" w:hAnsiTheme="majorEastAsia" w:eastAsiaTheme="majorEastAsia" w:cstheme="majorEastAsia"/>
          <w:color w:val="000000" w:themeColor="text1"/>
          <w:sz w:val="24"/>
          <w14:textFill>
            <w14:solidFill>
              <w14:schemeClr w14:val="tx1"/>
            </w14:solidFill>
          </w14:textFill>
        </w:rPr>
        <w:t>天，则保修期延长待机时间的</w:t>
      </w:r>
      <w:r>
        <w:rPr>
          <w:rFonts w:asciiTheme="majorEastAsia" w:hAnsiTheme="majorEastAsia" w:eastAsiaTheme="majorEastAsia" w:cstheme="majorEastAsia"/>
          <w:color w:val="000000" w:themeColor="text1"/>
          <w:sz w:val="24"/>
          <w14:textFill>
            <w14:solidFill>
              <w14:schemeClr w14:val="tx1"/>
            </w14:solidFill>
          </w14:textFill>
        </w:rPr>
        <w:t xml:space="preserve"> 10 </w:t>
      </w:r>
      <w:r>
        <w:rPr>
          <w:rFonts w:hint="eastAsia" w:asciiTheme="majorEastAsia" w:hAnsiTheme="majorEastAsia" w:eastAsiaTheme="majorEastAsia" w:cstheme="majorEastAsia"/>
          <w:color w:val="000000" w:themeColor="text1"/>
          <w:sz w:val="24"/>
          <w14:textFill>
            <w14:solidFill>
              <w14:schemeClr w14:val="tx1"/>
            </w14:solidFill>
          </w14:textFill>
        </w:rPr>
        <w:t>倍。</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14:textFill>
            <w14:solidFill>
              <w14:schemeClr w14:val="tx1"/>
            </w14:solidFill>
          </w14:textFill>
        </w:rPr>
        <w:t>2、安保要求：中标供应商负责科研管理</w:t>
      </w:r>
      <w:r>
        <w:rPr>
          <w:rFonts w:hint="eastAsia" w:asciiTheme="majorEastAsia" w:hAnsiTheme="majorEastAsia" w:eastAsiaTheme="majorEastAsia" w:cstheme="majorEastAsia"/>
          <w:color w:val="000000" w:themeColor="text1"/>
          <w:sz w:val="24"/>
          <w14:textFill>
            <w14:solidFill>
              <w14:schemeClr w14:val="tx1"/>
            </w14:solidFill>
          </w14:textFill>
        </w:rPr>
        <w:t>平台的网络安全漏洞、安全风险排查和整改，负责网络安全事件的处置。</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14:textFill>
            <w14:solidFill>
              <w14:schemeClr w14:val="tx1"/>
            </w14:solidFill>
          </w14:textFill>
        </w:rPr>
        <w:t>3、数据要求：项目建设必须严格遵守教育部发布的教育行业各类数据标准和规范。</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14:textFill>
            <w14:solidFill>
              <w14:schemeClr w14:val="tx1"/>
            </w14:solidFill>
          </w14:textFill>
        </w:rPr>
        <w:t>5、培训要求：依据</w:t>
      </w:r>
      <w:r>
        <w:rPr>
          <w:rFonts w:hint="eastAsia" w:asciiTheme="majorEastAsia" w:hAnsiTheme="majorEastAsia" w:eastAsiaTheme="majorEastAsia" w:cstheme="majorEastAsia"/>
          <w:color w:val="000000" w:themeColor="text1"/>
          <w:sz w:val="24"/>
          <w14:textFill>
            <w14:solidFill>
              <w14:schemeClr w14:val="tx1"/>
            </w14:solidFill>
          </w14:textFill>
        </w:rPr>
        <w:t>实验室的实际情况，协商制定切实可行的完整培训计划</w:t>
      </w:r>
      <w:r>
        <w:rPr>
          <w:rFonts w:asciiTheme="majorEastAsia" w:hAnsiTheme="majorEastAsia" w:eastAsiaTheme="majorEastAsia" w:cstheme="majorEastAsia"/>
          <w:color w:val="000000" w:themeColor="text1"/>
          <w:sz w:val="24"/>
          <w14:textFill>
            <w14:solidFill>
              <w14:schemeClr w14:val="tx1"/>
            </w14:solidFill>
          </w14:textFill>
        </w:rPr>
        <w:t>,采用集中培训与专项指导两种方式，为用户免费培训使用与维护软件的有关技术人员。系统上线第一年内，对全员完成不少于一轮培训。软硬件等设备的安装、调试时进行现场使用的培训，内容包括设备的工作原理、操作步骤、正常维护和应用等，使培训人员能够正确、熟练操作及掌握仪器简易的故障判别及排除、维修；同时对一线科研人员就数据文本的上传提出相应的要求</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14:textFill>
            <w14:solidFill>
              <w14:schemeClr w14:val="tx1"/>
            </w14:solidFill>
          </w14:textFill>
        </w:rPr>
        <w:t>6、</w:t>
      </w:r>
      <w:r>
        <w:rPr>
          <w:rFonts w:hint="eastAsia" w:asciiTheme="majorEastAsia" w:hAnsiTheme="majorEastAsia" w:eastAsiaTheme="majorEastAsia" w:cstheme="majorEastAsia"/>
          <w:color w:val="000000" w:themeColor="text1"/>
          <w:sz w:val="24"/>
          <w14:textFill>
            <w14:solidFill>
              <w14:schemeClr w14:val="tx1"/>
            </w14:solidFill>
          </w14:textFill>
        </w:rPr>
        <w:t>★缺陷管理：针对本次采购的系统中存在的缺陷，不论在质保期内或质保期外，中标供应商均应持续提供修正与消除缺陷服务。</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14:textFill>
            <w14:solidFill>
              <w14:schemeClr w14:val="tx1"/>
            </w14:solidFill>
          </w14:textFill>
        </w:rPr>
        <w:t>7、</w:t>
      </w:r>
      <w:r>
        <w:rPr>
          <w:rFonts w:hint="eastAsia" w:asciiTheme="majorEastAsia" w:hAnsiTheme="majorEastAsia" w:eastAsiaTheme="majorEastAsia" w:cstheme="majorEastAsia"/>
          <w:color w:val="000000" w:themeColor="text1"/>
          <w:sz w:val="24"/>
          <w14:textFill>
            <w14:solidFill>
              <w14:schemeClr w14:val="tx1"/>
            </w14:solidFill>
          </w14:textFill>
        </w:rPr>
        <w:t>★知识产权管理：本次采购的货物及相关软件和技术资料，中标供应商均已得到有关知识产权的权利人的合法授权，如发生涉及专利权、著作权、商标权等的争议，中标供应商负责处理，并承担由此引起的全部法律及经济责任。</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14:textFill>
            <w14:solidFill>
              <w14:schemeClr w14:val="tx1"/>
            </w14:solidFill>
          </w14:textFill>
        </w:rPr>
        <w:t>8. ★</w:t>
      </w:r>
      <w:r>
        <w:rPr>
          <w:rFonts w:hint="eastAsia" w:asciiTheme="majorEastAsia" w:hAnsiTheme="majorEastAsia" w:eastAsiaTheme="majorEastAsia" w:cstheme="majorEastAsia"/>
          <w:color w:val="000000" w:themeColor="text1"/>
          <w:sz w:val="24"/>
          <w14:textFill>
            <w14:solidFill>
              <w14:schemeClr w14:val="tx1"/>
            </w14:solidFill>
          </w14:textFill>
        </w:rPr>
        <w:t>接口开放及赋能：中标供应商应承诺在系统正式上线运行后开放接口并赋能，满足采购人业务扩展的需求。</w:t>
      </w:r>
    </w:p>
    <w:p>
      <w:pPr>
        <w:adjustRightInd w:val="0"/>
        <w:snapToGrid w:val="0"/>
        <w:spacing w:line="360" w:lineRule="auto"/>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14:textFill>
            <w14:solidFill>
              <w14:schemeClr w14:val="tx1"/>
            </w14:solidFill>
          </w14:textFill>
        </w:rPr>
        <w:t>9.该</w:t>
      </w:r>
      <w:r>
        <w:rPr>
          <w:rFonts w:hint="eastAsia" w:asciiTheme="majorEastAsia" w:hAnsiTheme="majorEastAsia" w:eastAsiaTheme="majorEastAsia" w:cstheme="majorEastAsia"/>
          <w:color w:val="000000" w:themeColor="text1"/>
          <w:sz w:val="24"/>
          <w14:textFill>
            <w14:solidFill>
              <w14:schemeClr w14:val="tx1"/>
            </w14:solidFill>
          </w14:textFill>
        </w:rPr>
        <w:t>科研创新服务平台应实现统一身份认证，与实验室的</w:t>
      </w:r>
      <w:r>
        <w:rPr>
          <w:rFonts w:asciiTheme="majorEastAsia" w:hAnsiTheme="majorEastAsia" w:eastAsiaTheme="majorEastAsia" w:cstheme="majorEastAsia"/>
          <w:color w:val="000000" w:themeColor="text1"/>
          <w:sz w:val="24"/>
          <w14:textFill>
            <w14:solidFill>
              <w14:schemeClr w14:val="tx1"/>
            </w14:solidFill>
          </w14:textFill>
        </w:rPr>
        <w:t>OA</w:t>
      </w:r>
      <w:r>
        <w:rPr>
          <w:rFonts w:hint="eastAsia" w:asciiTheme="majorEastAsia" w:hAnsiTheme="majorEastAsia" w:eastAsiaTheme="majorEastAsia" w:cstheme="majorEastAsia"/>
          <w:color w:val="000000" w:themeColor="text1"/>
          <w:sz w:val="24"/>
          <w14:textFill>
            <w14:solidFill>
              <w14:schemeClr w14:val="tx1"/>
            </w14:solidFill>
          </w14:textFill>
        </w:rPr>
        <w:t>系统、财务系统、人事系统等所有相关系统数据对接，因此产生的所有费用均包含在投标报价中。</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五、验收要求</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一）采购文件、报价文件、厂家货物技术标准说明及有关国家的质量标准规定，均作为验收标准。中标人提交相关软件技术文档、验收文档、系统程序（光盘）和用户手册等。中标人根据招标需求进行系统开发工作，达到各项技术和功能要求，完成系统部署、培训和上线运行，待系统运行稳定后，提交验收。</w:t>
      </w:r>
    </w:p>
    <w:p>
      <w:pPr>
        <w:numPr>
          <w:ilvl w:val="0"/>
          <w:numId w:val="8"/>
        </w:num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用户组织对供应商履约的验收。大型或者复杂的政府采购项目，邀请国家认可的质量检测机构参加验收工作。验收方成员在验收书上签字，并承担相应的法律责任。</w:t>
      </w:r>
    </w:p>
    <w:p>
      <w:pPr>
        <w:adjustRightInd w:val="0"/>
        <w:snapToGrid w:val="0"/>
        <w:spacing w:line="360" w:lineRule="auto"/>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三）具备正式验收条件后，采购人组织项目组成员以及相关专家，举行项目验收评审会议进行验收，会议通过或有条件通过（在满足提出的修改意见之后），同时出具《验收报告》，则视为正式验收合格。验收时中标供应商代表必须在场。验收合格后，中标供应商凭用户出具的验收合格书至嘉庚创新实验室资采室处根据合同规定办理付款手续。验收不合格的，供应商须先进行整改，仍旧不合格的，用户有权退货。</w:t>
      </w:r>
    </w:p>
    <w:p>
      <w:pPr>
        <w:tabs>
          <w:tab w:val="left" w:pos="0"/>
          <w:tab w:val="left" w:pos="540"/>
        </w:tabs>
        <w:spacing w:line="360" w:lineRule="auto"/>
        <w:ind w:firstLine="480" w:firstLineChars="200"/>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（四）</w:t>
      </w:r>
      <w:r>
        <w:rPr>
          <w:rFonts w:hint="eastAsia" w:asciiTheme="majorEastAsia" w:hAnsiTheme="majorEastAsia" w:eastAsiaTheme="majorEastAsia" w:cstheme="majorEastAsia"/>
          <w:b/>
          <w:color w:val="000000" w:themeColor="text1"/>
          <w:sz w:val="24"/>
          <w14:textFill>
            <w14:solidFill>
              <w14:schemeClr w14:val="tx1"/>
            </w14:solidFill>
          </w14:textFill>
        </w:rPr>
        <w:t>合同签订后，</w:t>
      </w:r>
      <w:r>
        <w:rPr>
          <w:rFonts w:asciiTheme="majorEastAsia" w:hAnsiTheme="majorEastAsia" w:eastAsiaTheme="majorEastAsia" w:cstheme="majorEastAsia"/>
          <w:b/>
          <w:color w:val="000000" w:themeColor="text1"/>
          <w:sz w:val="24"/>
          <w14:textFill>
            <w14:solidFill>
              <w14:schemeClr w14:val="tx1"/>
            </w14:solidFill>
          </w14:textFill>
        </w:rPr>
        <w:t>6</w:t>
      </w:r>
      <w:r>
        <w:rPr>
          <w:rFonts w:hint="eastAsia" w:asciiTheme="majorEastAsia" w:hAnsiTheme="majorEastAsia" w:eastAsiaTheme="majorEastAsia" w:cstheme="majorEastAsia"/>
          <w:b/>
          <w:color w:val="000000" w:themeColor="text1"/>
          <w:sz w:val="24"/>
          <w14:textFill>
            <w14:solidFill>
              <w14:schemeClr w14:val="tx1"/>
            </w14:solidFill>
          </w14:textFill>
        </w:rPr>
        <w:t>个月内验收。</w:t>
      </w:r>
    </w:p>
    <w:p>
      <w:pPr>
        <w:spacing w:line="360" w:lineRule="auto"/>
        <w:ind w:left="562" w:hanging="562" w:hangingChars="200"/>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六、付款条件</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合同签订后预付30%，用户验收小组验收合格交付使用的20个工作日内付65%货款，另外5%作为质保金，质保期结束后凭使用单位证明退还。</w:t>
      </w:r>
      <w:r>
        <w:rPr>
          <w:rFonts w:ascii="宋体" w:hAnsi="宋体" w:cs="宋体"/>
          <w:color w:val="000000" w:themeColor="text1"/>
          <w:kern w:val="0"/>
          <w:sz w:val="24"/>
          <w14:textFill>
            <w14:solidFill>
              <w14:schemeClr w14:val="tx1"/>
            </w14:solidFill>
          </w14:textFill>
        </w:rPr>
        <w:t xml:space="preserve"> </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p>
    <w:p>
      <w:pPr>
        <w:tabs>
          <w:tab w:val="left" w:pos="540"/>
        </w:tabs>
        <w:spacing w:line="360" w:lineRule="auto"/>
        <w:rPr>
          <w:rFonts w:ascii="Arial" w:hAnsi="宋体" w:cs="Arial"/>
          <w:color w:val="000000" w:themeColor="text1"/>
          <w:sz w:val="24"/>
          <w:szCs w:val="21"/>
          <w14:textFill>
            <w14:solidFill>
              <w14:schemeClr w14:val="tx1"/>
            </w14:solidFill>
          </w14:textFill>
        </w:rPr>
      </w:pPr>
    </w:p>
    <w:p>
      <w:pPr>
        <w:tabs>
          <w:tab w:val="left" w:pos="540"/>
        </w:tabs>
        <w:spacing w:line="360" w:lineRule="auto"/>
        <w:rPr>
          <w:rFonts w:ascii="Arial" w:hAnsi="宋体" w:cs="Arial"/>
          <w:color w:val="000000" w:themeColor="text1"/>
          <w:sz w:val="24"/>
          <w:szCs w:val="21"/>
          <w14:textFill>
            <w14:solidFill>
              <w14:schemeClr w14:val="tx1"/>
            </w14:solidFill>
          </w14:textFill>
        </w:rPr>
      </w:pPr>
    </w:p>
    <w:p>
      <w:pPr>
        <w:tabs>
          <w:tab w:val="left" w:pos="540"/>
        </w:tabs>
        <w:spacing w:line="360" w:lineRule="auto"/>
        <w:rPr>
          <w:rFonts w:ascii="Arial" w:hAnsi="宋体" w:cs="Arial"/>
          <w:color w:val="000000" w:themeColor="text1"/>
          <w:sz w:val="24"/>
          <w:szCs w:val="21"/>
          <w14:textFill>
            <w14:solidFill>
              <w14:schemeClr w14:val="tx1"/>
            </w14:solidFill>
          </w14:textFill>
        </w:rPr>
      </w:pPr>
    </w:p>
    <w:p>
      <w:pPr>
        <w:tabs>
          <w:tab w:val="left" w:pos="540"/>
        </w:tabs>
        <w:spacing w:line="360" w:lineRule="auto"/>
        <w:rPr>
          <w:rFonts w:ascii="Arial" w:hAnsi="宋体" w:cs="Arial"/>
          <w:color w:val="000000" w:themeColor="text1"/>
          <w:sz w:val="24"/>
          <w:szCs w:val="21"/>
          <w14:textFill>
            <w14:solidFill>
              <w14:schemeClr w14:val="tx1"/>
            </w14:solidFill>
          </w14:textFill>
        </w:rPr>
      </w:pPr>
    </w:p>
    <w:p>
      <w:pPr>
        <w:tabs>
          <w:tab w:val="left" w:pos="540"/>
        </w:tabs>
        <w:spacing w:line="360" w:lineRule="auto"/>
        <w:rPr>
          <w:rFonts w:ascii="Arial" w:hAnsi="宋体" w:cs="Arial"/>
          <w:color w:val="000000" w:themeColor="text1"/>
          <w:sz w:val="24"/>
          <w:szCs w:val="21"/>
          <w14:textFill>
            <w14:solidFill>
              <w14:schemeClr w14:val="tx1"/>
            </w14:solidFill>
          </w14:textFill>
        </w:rPr>
      </w:pPr>
    </w:p>
    <w:p>
      <w:pPr>
        <w:tabs>
          <w:tab w:val="left" w:pos="540"/>
        </w:tabs>
        <w:spacing w:line="360" w:lineRule="auto"/>
        <w:rPr>
          <w:rFonts w:ascii="Arial" w:hAnsi="宋体" w:cs="Arial"/>
          <w:color w:val="000000" w:themeColor="text1"/>
          <w:sz w:val="24"/>
          <w:szCs w:val="21"/>
          <w14:textFill>
            <w14:solidFill>
              <w14:schemeClr w14:val="tx1"/>
            </w14:solidFill>
          </w14:textFill>
        </w:rPr>
      </w:pPr>
    </w:p>
    <w:p>
      <w:pPr>
        <w:tabs>
          <w:tab w:val="left" w:pos="540"/>
        </w:tabs>
        <w:spacing w:line="360" w:lineRule="auto"/>
        <w:rPr>
          <w:rFonts w:ascii="Arial" w:hAnsi="宋体" w:cs="Arial"/>
          <w:color w:val="000000" w:themeColor="text1"/>
          <w:sz w:val="24"/>
          <w:szCs w:val="21"/>
          <w14:textFill>
            <w14:solidFill>
              <w14:schemeClr w14:val="tx1"/>
            </w14:solidFill>
          </w14:textFill>
        </w:rPr>
      </w:pPr>
    </w:p>
    <w:p>
      <w:pPr>
        <w:tabs>
          <w:tab w:val="left" w:pos="540"/>
        </w:tabs>
        <w:spacing w:line="360" w:lineRule="auto"/>
        <w:rPr>
          <w:rFonts w:ascii="Arial" w:hAnsi="宋体" w:cs="Arial"/>
          <w:color w:val="000000" w:themeColor="text1"/>
          <w:sz w:val="24"/>
          <w:szCs w:val="21"/>
          <w14:textFill>
            <w14:solidFill>
              <w14:schemeClr w14:val="tx1"/>
            </w14:solidFill>
          </w14:textFill>
        </w:r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第二章</w:t>
      </w:r>
      <w:r>
        <w:rPr>
          <w:b/>
          <w:bCs/>
          <w:color w:val="000000" w:themeColor="text1"/>
          <w:sz w:val="32"/>
          <w:szCs w:val="32"/>
          <w14:textFill>
            <w14:solidFill>
              <w14:schemeClr w14:val="tx1"/>
            </w14:solidFill>
          </w14:textFill>
        </w:rPr>
        <w:t xml:space="preserve">  </w:t>
      </w:r>
      <w:r>
        <w:rPr>
          <w:rFonts w:hint="eastAsia"/>
          <w:b/>
          <w:bCs/>
          <w:color w:val="000000" w:themeColor="text1"/>
          <w:sz w:val="32"/>
          <w:szCs w:val="32"/>
          <w14:textFill>
            <w14:solidFill>
              <w14:schemeClr w14:val="tx1"/>
            </w14:solidFill>
          </w14:textFill>
        </w:rPr>
        <w:t>供应商须知</w:t>
      </w:r>
    </w:p>
    <w:p>
      <w:pPr>
        <w:pStyle w:val="2"/>
        <w:spacing w:before="0" w:after="0" w:line="360" w:lineRule="auto"/>
        <w:jc w:val="both"/>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（一）总则</w:t>
      </w:r>
    </w:p>
    <w:p>
      <w:pPr>
        <w:spacing w:before="120" w:line="360" w:lineRule="auto"/>
        <w:ind w:left="840" w:hanging="840" w:hangingChars="35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．定义</w:t>
      </w:r>
    </w:p>
    <w:p>
      <w:pPr>
        <w:spacing w:before="120" w:line="360" w:lineRule="auto"/>
        <w:ind w:left="840" w:hanging="840" w:hangingChars="3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“采购人”详见磋商邀请</w:t>
      </w:r>
    </w:p>
    <w:p>
      <w:pPr>
        <w:spacing w:before="120" w:line="360" w:lineRule="auto"/>
        <w:ind w:left="840" w:hanging="840" w:hangingChars="3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“磋商货物”指本磋商谈判文件中所述所有货物</w:t>
      </w:r>
    </w:p>
    <w:p>
      <w:pPr>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“服务”指本磋商谈判文件所述磋商供应商应该履行的承诺和义务。</w:t>
      </w:r>
    </w:p>
    <w:p>
      <w:pPr>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“潜在磋商供应商”指符合本磋商谈判文件各项规定的合格供应商。</w:t>
      </w:r>
    </w:p>
    <w:p>
      <w:pPr>
        <w:spacing w:before="120" w:line="360" w:lineRule="auto"/>
        <w:ind w:left="840" w:hanging="840" w:hangingChars="3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“磋商供应商”指接受谈判小组邀请获得竞争性磋商谈判文件并参加磋商的单位。</w:t>
      </w:r>
    </w:p>
    <w:p>
      <w:pPr>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“成交供应商”指经谈判小组审查通过，招投标中心向其发出《成交通知书》并授予其成交合同的磋商供应商。</w:t>
      </w:r>
    </w:p>
    <w:p>
      <w:pPr>
        <w:spacing w:before="120"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、合格磋商供应商的条件</w:t>
      </w:r>
    </w:p>
    <w:p>
      <w:pPr>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具有本项目生产、制造、供应及</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或实施能力，符合、承认并承诺履行本磋商谈判文件各项规定的国内供应商均可参加响应。</w:t>
      </w:r>
    </w:p>
    <w:p>
      <w:pPr>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pPr>
        <w:spacing w:before="120"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磋商供应商应遵守有关的国家法律、法规和条例，具备《中华人民共和国政府采购法》和本磋商谈判文件中规定的条件：</w:t>
      </w:r>
    </w:p>
    <w:p>
      <w:pPr>
        <w:tabs>
          <w:tab w:val="left" w:pos="1200"/>
        </w:tabs>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具有独立承担民事责任的能力；</w:t>
      </w:r>
    </w:p>
    <w:p>
      <w:pPr>
        <w:tabs>
          <w:tab w:val="left" w:pos="1200"/>
        </w:tabs>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具有良好的商业信誉和健全的财务会计制度；</w:t>
      </w:r>
    </w:p>
    <w:p>
      <w:pPr>
        <w:tabs>
          <w:tab w:val="left" w:pos="1200"/>
        </w:tabs>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具有履行合同所必需的设备和专业技术能力；</w:t>
      </w:r>
    </w:p>
    <w:p>
      <w:pPr>
        <w:tabs>
          <w:tab w:val="left" w:pos="1200"/>
        </w:tabs>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具有依法缴纳税收和社会保障资金的良好记录；</w:t>
      </w:r>
    </w:p>
    <w:p>
      <w:pPr>
        <w:tabs>
          <w:tab w:val="left" w:pos="1200"/>
        </w:tabs>
        <w:spacing w:before="120"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参加此项采购活动前三年内，在经营活动中没有重大违法记录。</w:t>
      </w:r>
    </w:p>
    <w:p>
      <w:pPr>
        <w:tabs>
          <w:tab w:val="left" w:pos="1200"/>
        </w:tabs>
        <w:spacing w:before="120"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本次磋商不允许联合体响应。</w:t>
      </w:r>
    </w:p>
    <w:p>
      <w:pPr>
        <w:tabs>
          <w:tab w:val="left" w:pos="1200"/>
        </w:tabs>
        <w:spacing w:before="120"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如磋商供应商代表不是法定代表人，须持有《法定代表人授权委托书》</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按磋商谈判文件格式填写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tabs>
          <w:tab w:val="left" w:pos="1200"/>
        </w:tabs>
        <w:spacing w:before="120"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费用</w:t>
      </w:r>
    </w:p>
    <w:p>
      <w:pPr>
        <w:tabs>
          <w:tab w:val="left" w:pos="525"/>
          <w:tab w:val="left" w:pos="735"/>
        </w:tabs>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磋商供应商应承担所有与准备和参加响应有关的费用，招投标中心和采购人在任何情况下均无义务和责任承担这些费用。</w:t>
      </w:r>
    </w:p>
    <w:p>
      <w:pPr>
        <w:spacing w:before="120"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通知</w:t>
      </w:r>
    </w:p>
    <w:p>
      <w:pPr>
        <w:spacing w:before="12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对与本项目有关的通知，招投标中心将本次磋商公告刊登的媒体上发布公告的形式，向潜在磋商供应商发出。收到通知的磋商供应商应以书面方式立即予以回复确认。</w:t>
      </w:r>
    </w:p>
    <w:p>
      <w:pPr>
        <w:tabs>
          <w:tab w:val="left" w:pos="540"/>
        </w:tabs>
        <w:spacing w:line="360" w:lineRule="auto"/>
        <w:rPr>
          <w:rFonts w:ascii="Arial" w:hAnsi="宋体" w:cs="Arial"/>
          <w:b/>
          <w:color w:val="000000" w:themeColor="text1"/>
          <w:sz w:val="24"/>
          <w:szCs w:val="21"/>
          <w14:textFill>
            <w14:solidFill>
              <w14:schemeClr w14:val="tx1"/>
            </w14:solidFill>
          </w14:textFill>
        </w:rPr>
      </w:pPr>
      <w:r>
        <w:rPr>
          <w:rFonts w:hint="eastAsia" w:ascii="Arial" w:hAnsi="宋体" w:cs="Arial"/>
          <w:b/>
          <w:color w:val="000000" w:themeColor="text1"/>
          <w:sz w:val="24"/>
          <w:szCs w:val="21"/>
          <w14:textFill>
            <w14:solidFill>
              <w14:schemeClr w14:val="tx1"/>
            </w14:solidFill>
          </w14:textFill>
        </w:rPr>
        <w:t>（二）磋商程序</w:t>
      </w:r>
    </w:p>
    <w:p>
      <w:pPr>
        <w:pStyle w:val="28"/>
        <w:widowControl w:val="0"/>
        <w:numPr>
          <w:ilvl w:val="0"/>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组建谈判小组</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招投标中心根据有关法律法规和本磋商谈判文件的规定，结合本磋商项目的特点组建谈判小组，对具备实质性响应的响应文件进行评估和比较。</w:t>
      </w:r>
    </w:p>
    <w:p>
      <w:pPr>
        <w:pStyle w:val="28"/>
        <w:widowControl w:val="0"/>
        <w:numPr>
          <w:ilvl w:val="0"/>
          <w:numId w:val="9"/>
        </w:numPr>
        <w:tabs>
          <w:tab w:val="clear" w:pos="709"/>
        </w:tabs>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磋商准备与初步评审</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响应截止时间后，谈判小组将审查响应文件是否符合磋商谈判文件的基本要求：内容是否完整、资格证明文件是否齐全、有无计算错误、文件签署是否齐全。</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在详细评审之前，谈判小组要审查每份响应文件是否实质上响应了磋商谈判文件的要求。</w:t>
      </w:r>
    </w:p>
    <w:p>
      <w:pPr>
        <w:tabs>
          <w:tab w:val="left" w:pos="1200"/>
        </w:tabs>
        <w:adjustRightInd w:val="0"/>
        <w:snapToGrid w:val="0"/>
        <w:spacing w:line="400" w:lineRule="exact"/>
        <w:ind w:firstLine="480" w:firstLineChars="200"/>
        <w:jc w:val="left"/>
        <w:rPr>
          <w:rFonts w:ascii="宋体" w:cs="微软雅黑"/>
          <w:color w:val="000000" w:themeColor="text1"/>
          <w:sz w:val="24"/>
          <w14:textFill>
            <w14:solidFill>
              <w14:schemeClr w14:val="tx1"/>
            </w14:solidFill>
          </w14:textFill>
        </w:rPr>
      </w:pPr>
      <w:r>
        <w:rPr>
          <w:rFonts w:ascii="宋体" w:hAnsi="宋体" w:cs="微软雅黑"/>
          <w:color w:val="000000" w:themeColor="text1"/>
          <w:sz w:val="24"/>
          <w14:textFill>
            <w14:solidFill>
              <w14:schemeClr w14:val="tx1"/>
            </w14:solidFill>
          </w14:textFill>
        </w:rPr>
        <w:t>1</w:t>
      </w:r>
      <w:r>
        <w:rPr>
          <w:rFonts w:hint="eastAsia" w:ascii="宋体" w:hAnsi="宋体" w:cs="微软雅黑"/>
          <w:color w:val="000000" w:themeColor="text1"/>
          <w:sz w:val="24"/>
          <w14:textFill>
            <w14:solidFill>
              <w14:schemeClr w14:val="tx1"/>
            </w14:solidFill>
          </w14:textFill>
        </w:rPr>
        <w:t>）实质上响应的响应是指与磋商谈判文件的主要条款、条件和规格相符，没有重大偏离或保留。</w:t>
      </w:r>
    </w:p>
    <w:p>
      <w:pPr>
        <w:tabs>
          <w:tab w:val="left" w:pos="1200"/>
        </w:tabs>
        <w:adjustRightInd w:val="0"/>
        <w:snapToGrid w:val="0"/>
        <w:spacing w:line="400" w:lineRule="exact"/>
        <w:ind w:firstLine="480" w:firstLineChars="200"/>
        <w:jc w:val="left"/>
        <w:rPr>
          <w:rFonts w:ascii="宋体" w:cs="微软雅黑"/>
          <w:color w:val="000000" w:themeColor="text1"/>
          <w:sz w:val="24"/>
          <w14:textFill>
            <w14:solidFill>
              <w14:schemeClr w14:val="tx1"/>
            </w14:solidFill>
          </w14:textFill>
        </w:rPr>
      </w:pPr>
      <w:r>
        <w:rPr>
          <w:rFonts w:ascii="宋体" w:hAnsi="宋体" w:cs="微软雅黑"/>
          <w:color w:val="000000" w:themeColor="text1"/>
          <w:sz w:val="24"/>
          <w14:textFill>
            <w14:solidFill>
              <w14:schemeClr w14:val="tx1"/>
            </w14:solidFill>
          </w14:textFill>
        </w:rPr>
        <w:t>2</w:t>
      </w:r>
      <w:r>
        <w:rPr>
          <w:rFonts w:hint="eastAsia" w:ascii="宋体" w:hAnsi="宋体" w:cs="微软雅黑"/>
          <w:color w:val="000000" w:themeColor="text1"/>
          <w:sz w:val="24"/>
          <w14:textFill>
            <w14:solidFill>
              <w14:schemeClr w14:val="tx1"/>
            </w14:solidFill>
          </w14:textFill>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本文件“响应人须知响应文件的组成及相关要求”部分中，带</w:t>
      </w:r>
      <w:r>
        <w:rPr>
          <w:rFonts w:ascii="宋体" w:hAnsi="宋体" w:cs="微软雅黑"/>
          <w:color w:val="000000" w:themeColor="text1"/>
          <w:spacing w:val="-20"/>
          <w:sz w:val="24"/>
          <w14:textFill>
            <w14:solidFill>
              <w14:schemeClr w14:val="tx1"/>
            </w14:solidFill>
          </w14:textFill>
        </w:rPr>
        <w:t>*</w:t>
      </w:r>
      <w:r>
        <w:rPr>
          <w:rFonts w:hint="eastAsia" w:ascii="宋体" w:hAnsi="宋体" w:cs="微软雅黑"/>
          <w:color w:val="000000" w:themeColor="text1"/>
          <w:sz w:val="24"/>
          <w14:textFill>
            <w14:solidFill>
              <w14:schemeClr w14:val="tx1"/>
            </w14:solidFill>
          </w14:textFill>
        </w:rPr>
        <w:t>的资格证明文件不全或无效的；</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响应文件未按磋商谈判文件的规定密封、签署、盖章的；</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响应有效期不足的；</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响应产品性能、规格、数量、交货时间、货物包装方式、检验标准和方法、售后服务承诺等不满足磋商谈判文件中的相关要求和超出采购人可接受的偏差范围的；</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未按照磋商谈判文件规定报价的；</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不符合磋商谈判文件有关分包、转包规定的；</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联合体响应文件未附联合体响应协议书的；</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响应文件附有采购人不能接受的条件；</w:t>
      </w:r>
    </w:p>
    <w:p>
      <w:pPr>
        <w:numPr>
          <w:ilvl w:val="0"/>
          <w:numId w:val="10"/>
        </w:numPr>
        <w:tabs>
          <w:tab w:val="left" w:pos="1200"/>
        </w:tabs>
        <w:adjustRightInd w:val="0"/>
        <w:snapToGrid w:val="0"/>
        <w:spacing w:line="400" w:lineRule="exact"/>
        <w:ind w:left="1200" w:hanging="480"/>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不符合磋商谈判文件中规定的其他实质性要求。</w:t>
      </w:r>
    </w:p>
    <w:p>
      <w:pPr>
        <w:tabs>
          <w:tab w:val="left" w:pos="1200"/>
        </w:tabs>
        <w:adjustRightInd w:val="0"/>
        <w:snapToGrid w:val="0"/>
        <w:spacing w:line="400" w:lineRule="exact"/>
        <w:ind w:firstLine="480" w:firstLineChars="200"/>
        <w:jc w:val="left"/>
        <w:rPr>
          <w:rFonts w:ascii="宋体" w:cs="微软雅黑"/>
          <w:color w:val="000000" w:themeColor="text1"/>
          <w:sz w:val="24"/>
          <w14:textFill>
            <w14:solidFill>
              <w14:schemeClr w14:val="tx1"/>
            </w14:solidFill>
          </w14:textFill>
        </w:rPr>
      </w:pPr>
      <w:r>
        <w:rPr>
          <w:rFonts w:ascii="宋体" w:hAnsi="宋体" w:cs="微软雅黑"/>
          <w:color w:val="000000" w:themeColor="text1"/>
          <w:sz w:val="24"/>
          <w14:textFill>
            <w14:solidFill>
              <w14:schemeClr w14:val="tx1"/>
            </w14:solidFill>
          </w14:textFill>
        </w:rPr>
        <w:t>3</w:t>
      </w:r>
      <w:r>
        <w:rPr>
          <w:rFonts w:hint="eastAsia" w:ascii="宋体" w:hAnsi="宋体" w:cs="微软雅黑"/>
          <w:color w:val="000000" w:themeColor="text1"/>
          <w:sz w:val="24"/>
          <w14:textFill>
            <w14:solidFill>
              <w14:schemeClr w14:val="tx1"/>
            </w14:solidFill>
          </w14:textFill>
        </w:rPr>
        <w:t>）重大偏离不允许在响应截止时间后修正，但谈判小组将允许修正响应中不构成重大偏离的地方，这些修正不会对其他实质上响应磋商谈判文件要求的响应人的竞争地位产生不公正的影响。</w:t>
      </w:r>
    </w:p>
    <w:p>
      <w:pPr>
        <w:tabs>
          <w:tab w:val="left" w:pos="1200"/>
        </w:tabs>
        <w:adjustRightInd w:val="0"/>
        <w:snapToGrid w:val="0"/>
        <w:spacing w:line="400" w:lineRule="exact"/>
        <w:ind w:firstLine="480" w:firstLineChars="200"/>
        <w:jc w:val="left"/>
        <w:rPr>
          <w:rFonts w:ascii="宋体" w:cs="微软雅黑"/>
          <w:color w:val="000000" w:themeColor="text1"/>
          <w:sz w:val="24"/>
          <w14:textFill>
            <w14:solidFill>
              <w14:schemeClr w14:val="tx1"/>
            </w14:solidFill>
          </w14:textFill>
        </w:rPr>
      </w:pPr>
      <w:r>
        <w:rPr>
          <w:rFonts w:ascii="宋体" w:hAnsi="宋体" w:cs="微软雅黑"/>
          <w:color w:val="000000" w:themeColor="text1"/>
          <w:sz w:val="24"/>
          <w14:textFill>
            <w14:solidFill>
              <w14:schemeClr w14:val="tx1"/>
            </w14:solidFill>
          </w14:textFill>
        </w:rPr>
        <w:t>4</w:t>
      </w:r>
      <w:r>
        <w:rPr>
          <w:rFonts w:hint="eastAsia" w:ascii="宋体" w:hAnsi="宋体" w:cs="微软雅黑"/>
          <w:color w:val="000000" w:themeColor="text1"/>
          <w:sz w:val="24"/>
          <w14:textFill>
            <w14:solidFill>
              <w14:schemeClr w14:val="tx1"/>
            </w14:solidFill>
          </w14:textFill>
        </w:rPr>
        <w:t>）如果响应文件实质上没有响应磋商谈判文件的要求，谈判小组将予以拒绝，响应人不得再对响应文件进行任何修正从而使其响应成为实质上响应的响应。</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谈判小组所有成员根据供应商首轮报价、技术及服务的响应情况选择不少于两家供应商进入磋商谈判环节。</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谈判小组应当集中与进入磋商谈判环节的单一供应商分别进行磋商，并给予所有进入磋商的供应商平等的磋商机会。</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初审中，对明显的文字和计算错误按下述原则处理，若出现相互矛盾之处，应以排列在先的原则为准优先处理：</w:t>
      </w:r>
    </w:p>
    <w:p>
      <w:pPr>
        <w:numPr>
          <w:ilvl w:val="0"/>
          <w:numId w:val="11"/>
        </w:numPr>
        <w:adjustRightInd w:val="0"/>
        <w:snapToGrid w:val="0"/>
        <w:spacing w:line="400" w:lineRule="exact"/>
        <w:jc w:val="left"/>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color w:val="000000" w:themeColor="text1"/>
          <w:sz w:val="24"/>
          <w14:textFill>
            <w14:solidFill>
              <w14:schemeClr w14:val="tx1"/>
            </w14:solidFill>
          </w14:textFill>
        </w:rPr>
        <w:t>,</w:t>
      </w:r>
      <w:r>
        <w:rPr>
          <w:rFonts w:hint="eastAsia" w:ascii="宋体" w:hAnsi="宋体" w:cs="微软雅黑"/>
          <w:color w:val="000000" w:themeColor="text1"/>
          <w:sz w:val="24"/>
          <w14:textFill>
            <w14:solidFill>
              <w14:schemeClr w14:val="tx1"/>
            </w14:solidFill>
          </w14:textFill>
        </w:rPr>
        <w:t>以报价一览表为准。</w:t>
      </w:r>
    </w:p>
    <w:p>
      <w:pPr>
        <w:numPr>
          <w:ilvl w:val="0"/>
          <w:numId w:val="11"/>
        </w:numPr>
        <w:adjustRightInd w:val="0"/>
        <w:snapToGrid w:val="0"/>
        <w:spacing w:line="400" w:lineRule="exact"/>
        <w:jc w:val="left"/>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如果以文字表示的数据与数字表示的有差别，以文字为准修正数字。如果大小写金额不一致的，以大写金额为准。</w:t>
      </w:r>
    </w:p>
    <w:p>
      <w:pPr>
        <w:numPr>
          <w:ilvl w:val="0"/>
          <w:numId w:val="11"/>
        </w:numPr>
        <w:adjustRightInd w:val="0"/>
        <w:snapToGrid w:val="0"/>
        <w:spacing w:line="400" w:lineRule="exact"/>
        <w:jc w:val="left"/>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调整后的数据应对响应人具有约束力，响应人不同意以上修正，其响应将被拒绝。</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谈判小组对响应文件的判定</w:t>
      </w:r>
      <w:r>
        <w:rPr>
          <w:rFonts w:ascii="宋体" w:eastAsia="宋体" w:cs="微软雅黑"/>
          <w:color w:val="000000" w:themeColor="text1"/>
          <w:sz w:val="24"/>
          <w:szCs w:val="24"/>
          <w14:textFill>
            <w14:solidFill>
              <w14:schemeClr w14:val="tx1"/>
            </w14:solidFill>
          </w14:textFill>
        </w:rPr>
        <w:t>,</w:t>
      </w:r>
      <w:r>
        <w:rPr>
          <w:rFonts w:hint="eastAsia" w:ascii="宋体" w:eastAsia="宋体" w:cs="微软雅黑"/>
          <w:color w:val="000000" w:themeColor="text1"/>
          <w:sz w:val="24"/>
          <w:szCs w:val="24"/>
          <w14:textFill>
            <w14:solidFill>
              <w14:schemeClr w14:val="tx1"/>
            </w14:solidFill>
          </w14:textFill>
        </w:rPr>
        <w:t>只依据响应文件内容本身</w:t>
      </w:r>
      <w:r>
        <w:rPr>
          <w:rFonts w:ascii="宋体" w:eastAsia="宋体" w:cs="微软雅黑"/>
          <w:color w:val="000000" w:themeColor="text1"/>
          <w:sz w:val="24"/>
          <w:szCs w:val="24"/>
          <w14:textFill>
            <w14:solidFill>
              <w14:schemeClr w14:val="tx1"/>
            </w14:solidFill>
          </w14:textFill>
        </w:rPr>
        <w:t>,</w:t>
      </w:r>
      <w:r>
        <w:rPr>
          <w:rFonts w:hint="eastAsia" w:ascii="宋体" w:eastAsia="宋体" w:cs="微软雅黑"/>
          <w:color w:val="000000" w:themeColor="text1"/>
          <w:sz w:val="24"/>
          <w:szCs w:val="24"/>
          <w14:textFill>
            <w14:solidFill>
              <w14:schemeClr w14:val="tx1"/>
            </w14:solidFill>
          </w14:textFill>
        </w:rPr>
        <w:t>不依据任何外来证明。</w:t>
      </w:r>
    </w:p>
    <w:p>
      <w:pPr>
        <w:pStyle w:val="28"/>
        <w:widowControl w:val="0"/>
        <w:numPr>
          <w:ilvl w:val="0"/>
          <w:numId w:val="9"/>
        </w:numPr>
        <w:tabs>
          <w:tab w:val="clear" w:pos="709"/>
        </w:tabs>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响应的澄清</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pPr>
        <w:pStyle w:val="28"/>
        <w:widowControl w:val="0"/>
        <w:numPr>
          <w:ilvl w:val="0"/>
          <w:numId w:val="9"/>
        </w:numPr>
        <w:tabs>
          <w:tab w:val="clear" w:pos="709"/>
        </w:tabs>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对响应文件的详细评审</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b/>
          <w:bCs/>
          <w:color w:val="000000" w:themeColor="text1"/>
          <w:sz w:val="24"/>
          <w:szCs w:val="24"/>
          <w14:textFill>
            <w14:solidFill>
              <w14:schemeClr w14:val="tx1"/>
            </w14:solidFill>
          </w14:textFill>
        </w:rPr>
      </w:pPr>
      <w:r>
        <w:rPr>
          <w:rFonts w:hint="eastAsia" w:ascii="宋体" w:eastAsia="宋体" w:cs="微软雅黑"/>
          <w:b/>
          <w:bCs/>
          <w:color w:val="000000" w:themeColor="text1"/>
          <w:sz w:val="24"/>
          <w:szCs w:val="24"/>
          <w14:textFill>
            <w14:solidFill>
              <w14:schemeClr w14:val="tx1"/>
            </w14:solidFill>
          </w14:textFill>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已提交响应文件的供应商，在提交最后报价之前，可以根据磋商情况退出磋商。</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经磋商确定最终采购需求和提交最后报价的供应商后，由谈判小组采用综合评议法对提交最后报价的供应商的响应文件和最后报价进行综合评议。</w:t>
      </w:r>
    </w:p>
    <w:p>
      <w:pPr>
        <w:pStyle w:val="28"/>
        <w:widowControl w:val="0"/>
        <w:numPr>
          <w:ilvl w:val="1"/>
          <w:numId w:val="9"/>
        </w:numPr>
        <w:adjustRightInd w:val="0"/>
        <w:spacing w:before="0" w:beforeAutospacing="0" w:after="0" w:afterAutospacing="0" w:line="360" w:lineRule="auto"/>
        <w:jc w:val="both"/>
        <w:outlineLvl w:val="9"/>
        <w:rPr>
          <w:rFonts w:ascii="宋体" w:eastAsia="宋体" w:cs="微软雅黑"/>
          <w:color w:val="000000" w:themeColor="text1"/>
          <w:sz w:val="24"/>
          <w:szCs w:val="28"/>
          <w14:textFill>
            <w14:solidFill>
              <w14:schemeClr w14:val="tx1"/>
            </w14:solidFill>
          </w14:textFill>
        </w:rPr>
      </w:pPr>
      <w:r>
        <w:rPr>
          <w:rFonts w:hint="eastAsia" w:ascii="宋体" w:eastAsia="宋体" w:cs="微软雅黑"/>
          <w:color w:val="000000" w:themeColor="text1"/>
          <w:sz w:val="24"/>
          <w:szCs w:val="28"/>
          <w14:textFill>
            <w14:solidFill>
              <w14:schemeClr w14:val="tx1"/>
            </w14:solidFill>
          </w14:textFill>
        </w:rPr>
        <w:t>综合评分法：</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投标文件未按规定密封或采用活页装订；</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未按招标文件规定的格式填写或投标报价一览表等关键内容字迹模不清的；</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未实质性响应本文件中带★号的条款要求的；</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资格性检查和符合性检查合格的投标文件进入综合评分。评标委员会各位评委依据评分标准以及各项权重，就每个合格投标人的投标文件及其对招标文件要求的响应情况进行综合比较和评价，统计每个通过审核的投标人的技术、商务、价格及附加项目（如有）得分，评标委员会根据最终评审的结果，推荐综合得分最高的投标人中标，如综合得分相同，以报价较低者中标。</w:t>
      </w:r>
    </w:p>
    <w:p>
      <w:pPr>
        <w:spacing w:line="360" w:lineRule="auto"/>
        <w:ind w:left="709"/>
        <w:rPr>
          <w:rFonts w:ascii="宋体" w:hAnsi="宋体"/>
          <w:b/>
          <w:color w:val="000000" w:themeColor="text1"/>
          <w:sz w:val="24"/>
          <w14:textFill>
            <w14:solidFill>
              <w14:schemeClr w14:val="tx1"/>
            </w14:solidFill>
          </w14:textFill>
        </w:rPr>
      </w:pPr>
    </w:p>
    <w:p>
      <w:pPr>
        <w:pStyle w:val="30"/>
        <w:spacing w:line="360" w:lineRule="auto"/>
        <w:ind w:left="709" w:firstLine="0" w:firstLineChars="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评分标准：</w:t>
      </w:r>
    </w:p>
    <w:p>
      <w:pPr>
        <w:pStyle w:val="7"/>
        <w:spacing w:after="0" w:line="400" w:lineRule="exact"/>
        <w:ind w:firstLine="562"/>
        <w:jc w:val="center"/>
        <w:rPr>
          <w:rFonts w:ascii="黑体" w:hAnsi="黑体" w:eastAsia="黑体"/>
          <w:b/>
          <w:color w:val="000000" w:themeColor="text1"/>
          <w:sz w:val="28"/>
          <w:szCs w:val="28"/>
          <w14:textFill>
            <w14:solidFill>
              <w14:schemeClr w14:val="tx1"/>
            </w14:solidFill>
          </w14:textFill>
        </w:rPr>
      </w:pPr>
    </w:p>
    <w:tbl>
      <w:tblPr>
        <w:tblStyle w:val="18"/>
        <w:tblW w:w="9923" w:type="dxa"/>
        <w:tblInd w:w="-17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275"/>
        <w:gridCol w:w="1560"/>
        <w:gridCol w:w="637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1" w:hRule="atLeast"/>
        </w:trPr>
        <w:tc>
          <w:tcPr>
            <w:tcW w:w="710" w:type="dxa"/>
            <w:tcBorders>
              <w:top w:val="double" w:color="auto" w:sz="4" w:space="0"/>
              <w:left w:val="doub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275" w:type="dxa"/>
            <w:tcBorders>
              <w:top w:val="double" w:color="auto" w:sz="4"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评标因素</w:t>
            </w:r>
          </w:p>
          <w:p>
            <w:pPr>
              <w:adjustRightInd w:val="0"/>
              <w:snapToGrid w:val="0"/>
              <w:spacing w:line="38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（权重分）</w:t>
            </w:r>
          </w:p>
        </w:tc>
        <w:tc>
          <w:tcPr>
            <w:tcW w:w="1560" w:type="dxa"/>
            <w:tcBorders>
              <w:top w:val="double" w:color="auto" w:sz="4"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评审项及分值</w:t>
            </w:r>
          </w:p>
        </w:tc>
        <w:tc>
          <w:tcPr>
            <w:tcW w:w="6378" w:type="dxa"/>
            <w:tcBorders>
              <w:top w:val="double" w:color="auto" w:sz="4" w:space="0"/>
              <w:left w:val="single" w:color="auto" w:sz="4" w:space="0"/>
              <w:bottom w:val="single" w:color="auto" w:sz="6" w:space="0"/>
              <w:right w:val="double" w:color="auto" w:sz="4" w:space="0"/>
            </w:tcBorders>
            <w:vAlign w:val="center"/>
          </w:tcPr>
          <w:p>
            <w:pPr>
              <w:adjustRightInd w:val="0"/>
              <w:snapToGrid w:val="0"/>
              <w:spacing w:line="38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评标标准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9" w:hRule="atLeast"/>
        </w:trPr>
        <w:tc>
          <w:tcPr>
            <w:tcW w:w="710" w:type="dxa"/>
            <w:tcBorders>
              <w:top w:val="single" w:color="auto" w:sz="6" w:space="0"/>
              <w:left w:val="doub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75"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价格评价项（A</w:t>
            </w:r>
            <w:r>
              <w:rPr>
                <w:rFonts w:hint="eastAsia" w:ascii="宋体" w:hAnsi="宋体"/>
                <w:color w:val="000000" w:themeColor="text1"/>
                <w:szCs w:val="21"/>
                <w:vertAlign w:val="subscript"/>
                <w14:textFill>
                  <w14:solidFill>
                    <w14:schemeClr w14:val="tx1"/>
                  </w14:solidFill>
                </w14:textFill>
              </w:rPr>
              <w:t>1</w:t>
            </w:r>
            <w:r>
              <w:rPr>
                <w:rFonts w:ascii="宋体" w:hAnsi="宋体"/>
                <w:color w:val="000000" w:themeColor="text1"/>
                <w:szCs w:val="21"/>
                <w:vertAlign w:val="subscript"/>
                <w14:textFill>
                  <w14:solidFill>
                    <w14:schemeClr w14:val="tx1"/>
                  </w14:solidFill>
                </w14:textFill>
              </w:rPr>
              <w:t xml:space="preserve"> </w:t>
            </w:r>
            <w:r>
              <w:rPr>
                <w:rFonts w:ascii="宋体" w:hAnsi="宋体"/>
                <w:color w:val="000000" w:themeColor="text1"/>
                <w:szCs w:val="21"/>
                <w14:textFill>
                  <w14:solidFill>
                    <w14:schemeClr w14:val="tx1"/>
                  </w14:solidFill>
                </w14:textFill>
              </w:rPr>
              <w:t>10分</w:t>
            </w:r>
            <w:r>
              <w:rPr>
                <w:rFonts w:hint="eastAsia" w:ascii="宋体" w:hAnsi="宋体"/>
                <w:color w:val="000000" w:themeColor="text1"/>
                <w:szCs w:val="21"/>
                <w14:textFill>
                  <w14:solidFill>
                    <w14:schemeClr w14:val="tx1"/>
                  </w14:solidFill>
                </w14:textFill>
              </w:rPr>
              <w:t>）</w:t>
            </w:r>
          </w:p>
        </w:tc>
        <w:tc>
          <w:tcPr>
            <w:tcW w:w="156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6378" w:type="dxa"/>
            <w:tcBorders>
              <w:top w:val="single" w:color="auto" w:sz="6" w:space="0"/>
              <w:left w:val="single" w:color="auto" w:sz="4" w:space="0"/>
              <w:bottom w:val="single" w:color="auto" w:sz="6" w:space="0"/>
              <w:right w:val="double" w:color="auto" w:sz="4" w:space="0"/>
            </w:tcBorders>
            <w:vAlign w:val="center"/>
          </w:tcPr>
          <w:p>
            <w:pPr>
              <w:spacing w:line="38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以经评委会一致认定满足招标文件要求且投标价格最低的投标报价为评标基准价，其价格得分计满分。其他投标人的价格得分统一按公式计算：报价得分＝（评标基准价÷投标报价）×</w:t>
            </w:r>
            <w:r>
              <w:rPr>
                <w:rFonts w:ascii="宋体" w:hAnsi="宋体"/>
                <w:color w:val="000000" w:themeColor="text1"/>
                <w:kern w:val="0"/>
                <w:szCs w:val="21"/>
                <w14:textFill>
                  <w14:solidFill>
                    <w14:schemeClr w14:val="tx1"/>
                  </w14:solidFill>
                </w14:textFill>
              </w:rPr>
              <w:t>10</w:t>
            </w:r>
          </w:p>
          <w:p>
            <w:pPr>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根据“财政部令第87号”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trPr>
        <w:tc>
          <w:tcPr>
            <w:tcW w:w="710" w:type="dxa"/>
            <w:vMerge w:val="restart"/>
            <w:tcBorders>
              <w:top w:val="single" w:color="auto" w:sz="6" w:space="0"/>
              <w:left w:val="double" w:color="auto" w:sz="4" w:space="0"/>
              <w:right w:val="single" w:color="auto" w:sz="4" w:space="0"/>
            </w:tcBorders>
            <w:vAlign w:val="center"/>
          </w:tcPr>
          <w:p>
            <w:pPr>
              <w:adjustRightInd w:val="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75" w:type="dxa"/>
            <w:vMerge w:val="restart"/>
            <w:tcBorders>
              <w:top w:val="single" w:color="auto" w:sz="6" w:space="0"/>
              <w:left w:val="single" w:color="auto" w:sz="4" w:space="0"/>
              <w:right w:val="single" w:color="auto" w:sz="4" w:space="0"/>
            </w:tcBorders>
            <w:vAlign w:val="center"/>
          </w:tcPr>
          <w:p>
            <w:pPr>
              <w:adjustRightInd w:val="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技术评价项（A</w:t>
            </w:r>
            <w:r>
              <w:rPr>
                <w:rFonts w:hint="eastAsia" w:ascii="宋体" w:hAnsi="宋体"/>
                <w:color w:val="000000" w:themeColor="text1"/>
                <w:szCs w:val="21"/>
                <w:vertAlign w:val="subscript"/>
                <w14:textFill>
                  <w14:solidFill>
                    <w14:schemeClr w14:val="tx1"/>
                  </w14:solidFill>
                </w14:textFill>
              </w:rPr>
              <w:t>2</w:t>
            </w:r>
            <w:r>
              <w:rPr>
                <w:rFonts w:ascii="宋体" w:hAnsi="宋体"/>
                <w:color w:val="000000" w:themeColor="text1"/>
                <w:szCs w:val="21"/>
                <w:vertAlign w:val="subscript"/>
                <w14:textFill>
                  <w14:solidFill>
                    <w14:schemeClr w14:val="tx1"/>
                  </w14:solidFill>
                </w14:textFill>
              </w:rPr>
              <w:t xml:space="preserve"> </w:t>
            </w:r>
            <w:r>
              <w:rPr>
                <w:rFonts w:ascii="宋体" w:hAnsi="宋体"/>
                <w:color w:val="000000" w:themeColor="text1"/>
                <w:szCs w:val="21"/>
                <w14:textFill>
                  <w14:solidFill>
                    <w14:schemeClr w14:val="tx1"/>
                  </w14:solidFill>
                </w14:textFill>
              </w:rPr>
              <w:t>60分</w:t>
            </w:r>
            <w:r>
              <w:rPr>
                <w:rFonts w:hint="eastAsia" w:ascii="宋体" w:hAnsi="宋体"/>
                <w:color w:val="000000" w:themeColor="text1"/>
                <w:szCs w:val="21"/>
                <w14:textFill>
                  <w14:solidFill>
                    <w14:schemeClr w14:val="tx1"/>
                  </w14:solidFill>
                </w14:textFill>
              </w:rPr>
              <w:t>）</w:t>
            </w:r>
          </w:p>
        </w:tc>
        <w:tc>
          <w:tcPr>
            <w:tcW w:w="1560" w:type="dxa"/>
            <w:tcBorders>
              <w:top w:val="single" w:color="auto" w:sz="6" w:space="0"/>
              <w:left w:val="single" w:color="auto" w:sz="4" w:space="0"/>
              <w:bottom w:val="single" w:color="auto" w:sz="6" w:space="0"/>
              <w:right w:val="single" w:color="auto" w:sz="4" w:space="0"/>
            </w:tcBorders>
            <w:vAlign w:val="center"/>
          </w:tcPr>
          <w:p>
            <w:pPr>
              <w:spacing w:line="38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对招标文件采购需求响应程度（16分）</w:t>
            </w:r>
          </w:p>
        </w:tc>
        <w:tc>
          <w:tcPr>
            <w:tcW w:w="6378" w:type="dxa"/>
            <w:tcBorders>
              <w:top w:val="single" w:color="auto" w:sz="6" w:space="0"/>
              <w:left w:val="single" w:color="auto" w:sz="4" w:space="0"/>
              <w:bottom w:val="single" w:color="auto" w:sz="6" w:space="0"/>
              <w:right w:val="double" w:color="auto" w:sz="4" w:space="0"/>
            </w:tcBorders>
            <w:vAlign w:val="center"/>
          </w:tcPr>
          <w:p>
            <w:pPr>
              <w:spacing w:line="38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以招标文件“采购需求”为基准进行应答，完全满足招标文件要求的计16分，每有一项负偏离按以下规则扣分，直至扣完16分为止。</w:t>
            </w:r>
          </w:p>
          <w:p>
            <w:pPr>
              <w:spacing w:line="38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（1）“▲”为重要要求项，每有一项负偏离扣4分，漏报条款视为该条不满足。</w:t>
            </w:r>
          </w:p>
          <w:p>
            <w:pPr>
              <w:spacing w:line="38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（2）无“▲”标记为一般要求项，每有一项负偏离扣2分，漏报条款视为该条不满足。</w:t>
            </w:r>
          </w:p>
          <w:p>
            <w:pPr>
              <w:spacing w:line="38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注：（1）标有“★”的参数为实质性参数，必须满足，否则，其投标无效。</w:t>
            </w:r>
          </w:p>
          <w:p>
            <w:pPr>
              <w:spacing w:line="38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（2）投标人需要对所有“技术需求”项进行点对点应答，必须在引用本招标文件的基础上，进行逐条逐项答复、说明和解释。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9" w:hRule="atLeast"/>
        </w:trPr>
        <w:tc>
          <w:tcPr>
            <w:tcW w:w="710" w:type="dxa"/>
            <w:vMerge w:val="continue"/>
            <w:tcBorders>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560" w:type="dxa"/>
            <w:tcBorders>
              <w:top w:val="single" w:color="auto" w:sz="6" w:space="0"/>
              <w:left w:val="single" w:color="auto" w:sz="4" w:space="0"/>
              <w:bottom w:val="single" w:color="auto" w:sz="6" w:space="0"/>
              <w:right w:val="single" w:color="auto" w:sz="4" w:space="0"/>
            </w:tcBorders>
            <w:vAlign w:val="center"/>
          </w:tcPr>
          <w:p>
            <w:pPr>
              <w:pStyle w:val="17"/>
              <w:spacing w:after="0" w:line="380" w:lineRule="exact"/>
              <w:ind w:left="0" w:leftChars="0" w:firstLine="0" w:firstLineChars="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总体技术方案（6分）</w:t>
            </w:r>
          </w:p>
        </w:tc>
        <w:tc>
          <w:tcPr>
            <w:tcW w:w="6378" w:type="dxa"/>
            <w:tcBorders>
              <w:top w:val="single" w:color="auto" w:sz="6" w:space="0"/>
              <w:left w:val="single" w:color="auto" w:sz="4" w:space="0"/>
              <w:bottom w:val="single" w:color="auto" w:sz="6" w:space="0"/>
              <w:right w:val="double" w:color="auto" w:sz="4" w:space="0"/>
            </w:tcBorders>
            <w:vAlign w:val="center"/>
          </w:tcPr>
          <w:p>
            <w:pPr>
              <w:pStyle w:val="17"/>
              <w:spacing w:after="0" w:line="380" w:lineRule="exact"/>
              <w:ind w:left="0" w:leftChars="0" w:firstLine="0" w:firstLineChars="0"/>
              <w:rPr>
                <w:rFonts w:ascii="宋体" w:hAnsi="宋体" w:cs="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提供项目总体技术方案，包括但不限于①项目整体理解；②总体构架设计方案；③各个子系统的设计方案。方案完全满足采购需求，内容详细完整、合理、逻辑清晰，可行性强的每项计2分；不够完善的每项计1分；未提供或不合理的不得分。满分为6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Merge w:val="continue"/>
            <w:tcBorders>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560" w:type="dxa"/>
            <w:tcBorders>
              <w:top w:val="single" w:color="auto" w:sz="6" w:space="0"/>
              <w:left w:val="single" w:color="auto" w:sz="4" w:space="0"/>
              <w:bottom w:val="single" w:color="auto" w:sz="6" w:space="0"/>
              <w:right w:val="single" w:color="auto" w:sz="4" w:space="0"/>
            </w:tcBorders>
            <w:vAlign w:val="center"/>
          </w:tcPr>
          <w:p>
            <w:pPr>
              <w:pStyle w:val="17"/>
              <w:spacing w:after="0" w:line="380" w:lineRule="exact"/>
              <w:ind w:left="0" w:leftChars="0" w:firstLine="0" w:firstLineChars="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业务延展性</w:t>
            </w:r>
          </w:p>
          <w:p>
            <w:pPr>
              <w:pStyle w:val="17"/>
              <w:spacing w:after="0" w:line="380" w:lineRule="exact"/>
              <w:ind w:left="0" w:leftChars="0" w:firstLine="0" w:firstLineChars="0"/>
              <w:jc w:val="center"/>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（6分）</w:t>
            </w:r>
          </w:p>
        </w:tc>
        <w:tc>
          <w:tcPr>
            <w:tcW w:w="6378" w:type="dxa"/>
            <w:tcBorders>
              <w:top w:val="single" w:color="auto" w:sz="6" w:space="0"/>
              <w:left w:val="single" w:color="auto" w:sz="4" w:space="0"/>
              <w:bottom w:val="single" w:color="auto" w:sz="6" w:space="0"/>
              <w:right w:val="double" w:color="auto" w:sz="4" w:space="0"/>
            </w:tcBorders>
            <w:vAlign w:val="center"/>
          </w:tcPr>
          <w:p>
            <w:pPr>
              <w:pStyle w:val="17"/>
              <w:spacing w:after="0" w:line="380" w:lineRule="exact"/>
              <w:ind w:left="0" w:leftChars="0" w:firstLine="0" w:firstLineChars="0"/>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为保障科研平台和财务、人事平台及其他科研相关系统的对接，保证系统对接的稳定性与安全性，投标人须根据以往项目的经验提供与财务、人事系统及其他科研相关系统的对接方案，包括但不限于①系统对接的稳定性与安全性；②系统间数据的交互与共享；③系统故障时的应急处理及合理化建议。方案贴合实际，内容详细完整、合理、逻辑清晰，可行性强的每项计2分；不够完善的每项计1分；未提供或不合理的不得分。满分为6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Merge w:val="continue"/>
            <w:tcBorders>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560" w:type="dxa"/>
            <w:tcBorders>
              <w:top w:val="single" w:color="auto" w:sz="6" w:space="0"/>
              <w:left w:val="single" w:color="auto" w:sz="4" w:space="0"/>
              <w:bottom w:val="single" w:color="auto" w:sz="6" w:space="0"/>
              <w:right w:val="single" w:color="auto" w:sz="4" w:space="0"/>
            </w:tcBorders>
            <w:vAlign w:val="center"/>
          </w:tcPr>
          <w:p>
            <w:pPr>
              <w:pStyle w:val="17"/>
              <w:spacing w:after="0" w:line="380" w:lineRule="exact"/>
              <w:ind w:left="0" w:leftChars="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系统安全性</w:t>
            </w:r>
          </w:p>
          <w:p>
            <w:pPr>
              <w:pStyle w:val="17"/>
              <w:spacing w:after="0" w:line="380" w:lineRule="exact"/>
              <w:ind w:left="0" w:leftChars="0" w:firstLine="0" w:firstLineChars="0"/>
              <w:jc w:val="center"/>
              <w:rPr>
                <w:rFonts w:ascii="宋体" w:hAnsi="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（3分）</w:t>
            </w:r>
          </w:p>
        </w:tc>
        <w:tc>
          <w:tcPr>
            <w:tcW w:w="6378" w:type="dxa"/>
            <w:tcBorders>
              <w:top w:val="single" w:color="auto" w:sz="6" w:space="0"/>
              <w:left w:val="single" w:color="auto" w:sz="4" w:space="0"/>
              <w:bottom w:val="single" w:color="auto" w:sz="6" w:space="0"/>
              <w:right w:val="double" w:color="auto" w:sz="4" w:space="0"/>
            </w:tcBorders>
            <w:vAlign w:val="center"/>
          </w:tcPr>
          <w:p>
            <w:pPr>
              <w:pStyle w:val="17"/>
              <w:spacing w:after="0" w:line="380" w:lineRule="exact"/>
              <w:ind w:left="0" w:leftChars="0" w:firstLine="0" w:firstLineChars="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系统针对二级安全评测中的安全计算环境制定详细系统安全方案，针对性强</w:t>
            </w:r>
            <w:r>
              <w:rPr>
                <w:rFonts w:ascii="宋体" w:hAnsi="宋体"/>
                <w:color w:val="000000" w:themeColor="text1"/>
                <w:kern w:val="0"/>
                <w:szCs w:val="21"/>
                <w14:textFill>
                  <w14:solidFill>
                    <w14:schemeClr w14:val="tx1"/>
                  </w14:solidFill>
                </w14:textFill>
              </w:rPr>
              <w:t>2分，不够完善1分，</w:t>
            </w:r>
            <w:r>
              <w:rPr>
                <w:rFonts w:hint="eastAsia" w:ascii="宋体" w:hAnsi="宋体"/>
                <w:color w:val="000000" w:themeColor="text1"/>
                <w:kern w:val="0"/>
                <w:szCs w:val="21"/>
                <w14:textFill>
                  <w14:solidFill>
                    <w14:schemeClr w14:val="tx1"/>
                  </w14:solidFill>
                </w14:textFill>
              </w:rPr>
              <w:t>未提供或不合理的不得分；</w:t>
            </w:r>
          </w:p>
          <w:p>
            <w:pPr>
              <w:pStyle w:val="17"/>
              <w:spacing w:after="0" w:line="380" w:lineRule="exact"/>
              <w:ind w:left="0" w:leftChars="0" w:firstLine="0" w:firstLineChars="0"/>
              <w:rPr>
                <w:rFonts w:ascii="宋体" w:hAnsi="宋体"/>
                <w:color w:val="000000" w:themeColor="text1"/>
                <w:kern w:val="0"/>
                <w:szCs w:val="21"/>
                <w:lang w:val="zh-CN"/>
                <w14:textFill>
                  <w14:solidFill>
                    <w14:schemeClr w14:val="tx1"/>
                  </w14:solidFill>
                </w14:textFill>
              </w:rPr>
            </w:pP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投标人应有通过二级安全测评的项目案例，须提供证书复印件，符合得</w:t>
            </w:r>
            <w:r>
              <w:rPr>
                <w:rFonts w:ascii="宋体" w:hAnsi="宋体"/>
                <w:color w:val="000000" w:themeColor="text1"/>
                <w:kern w:val="0"/>
                <w:szCs w:val="21"/>
                <w14:textFill>
                  <w14:solidFill>
                    <w14:schemeClr w14:val="tx1"/>
                  </w14:solidFill>
                </w14:textFill>
              </w:rPr>
              <w:t>1分，不符合不得分。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Merge w:val="continue"/>
            <w:tcBorders>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560" w:type="dxa"/>
            <w:tcBorders>
              <w:top w:val="single" w:color="auto" w:sz="6" w:space="0"/>
              <w:left w:val="single" w:color="auto" w:sz="4" w:space="0"/>
              <w:bottom w:val="single" w:color="auto" w:sz="6" w:space="0"/>
              <w:right w:val="single" w:color="auto" w:sz="4" w:space="0"/>
            </w:tcBorders>
            <w:vAlign w:val="center"/>
          </w:tcPr>
          <w:p>
            <w:pPr>
              <w:pStyle w:val="17"/>
              <w:spacing w:after="0" w:line="380" w:lineRule="exact"/>
              <w:ind w:left="0" w:leftChars="0"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系统演示</w:t>
            </w:r>
          </w:p>
          <w:p>
            <w:pPr>
              <w:pStyle w:val="17"/>
              <w:spacing w:after="0" w:line="380" w:lineRule="exact"/>
              <w:ind w:left="0" w:leftChars="0" w:firstLine="0" w:firstLineChars="0"/>
              <w:jc w:val="center"/>
              <w:rPr>
                <w:rFonts w:ascii="宋体" w:hAnsi="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6378" w:type="dxa"/>
            <w:tcBorders>
              <w:top w:val="single" w:color="auto" w:sz="6" w:space="0"/>
              <w:left w:val="single" w:color="auto" w:sz="4" w:space="0"/>
              <w:bottom w:val="single" w:color="auto" w:sz="6" w:space="0"/>
              <w:right w:val="double" w:color="auto" w:sz="4" w:space="0"/>
            </w:tcBorders>
            <w:vAlign w:val="center"/>
          </w:tcPr>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为保障项目按照计划时间顺利实施并交付使用，投标人需根据其现有系统产品进行现场演示，不接受PPT、文档演示。每家投标单位演示时间控制在20分钟以内，必须是项目经理演示，否则不得分。演示要求如下：</w:t>
            </w:r>
          </w:p>
          <w:p>
            <w:pPr>
              <w:rPr>
                <w:rFonts w:ascii="宋体" w:hAnsi="宋体" w:cs="仿宋"/>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1.典型科研业务审批演示</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审批流程清晰方便得2分，一般得1分，尚需改进得0分。</w:t>
            </w:r>
          </w:p>
          <w:p>
            <w:pPr>
              <w:rPr>
                <w:rFonts w:ascii="宋体" w:hAnsi="宋体" w:cs="仿宋"/>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2.</w:t>
            </w:r>
            <w:r>
              <w:rPr>
                <w:rFonts w:hint="eastAsia" w:ascii="宋体" w:hAnsi="宋体"/>
                <w:color w:val="000000" w:themeColor="text1"/>
                <w14:textFill>
                  <w14:solidFill>
                    <w14:schemeClr w14:val="tx1"/>
                  </w14:solidFill>
                </w14:textFill>
              </w:rPr>
              <w:t xml:space="preserve"> </w:t>
            </w:r>
            <w:r>
              <w:rPr>
                <w:rFonts w:hint="eastAsia" w:ascii="宋体" w:hAnsi="宋体" w:cs="仿宋"/>
                <w:b/>
                <w:bCs/>
                <w:color w:val="000000" w:themeColor="text1"/>
                <w:kern w:val="0"/>
                <w:szCs w:val="21"/>
                <w14:textFill>
                  <w14:solidFill>
                    <w14:schemeClr w14:val="tx1"/>
                  </w14:solidFill>
                </w14:textFill>
              </w:rPr>
              <w:t>科研首页演示</w:t>
            </w:r>
            <w:r>
              <w:rPr>
                <w:rFonts w:hint="eastAsia" w:ascii="宋体" w:hAnsi="宋体" w:cs="仿宋"/>
                <w:color w:val="000000" w:themeColor="text1"/>
                <w:kern w:val="0"/>
                <w:szCs w:val="21"/>
                <w14:textFill>
                  <w14:solidFill>
                    <w14:schemeClr w14:val="tx1"/>
                  </w14:solidFill>
                </w14:textFill>
              </w:rPr>
              <w:t>：</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（1）系统不同角色应有不同的科研首页，领导登录后科研首页应为领导驾驶舱、普通科研人员登录后为科研工作台；</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（2）领导的科研首页中应能清晰的展示关键的科研指标、系统待办、我的项目、我的成果等内容，领导的科研首页应能快捷的进入大屏统计页面，可以按各科研板块统计科研相关数据；</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3</w:t>
            </w:r>
            <w:r>
              <w:rPr>
                <w:rFonts w:hint="eastAsia" w:ascii="宋体" w:hAnsi="宋体" w:cs="仿宋"/>
                <w:color w:val="000000" w:themeColor="text1"/>
                <w:kern w:val="0"/>
                <w:szCs w:val="21"/>
                <w14:textFill>
                  <w14:solidFill>
                    <w14:schemeClr w14:val="tx1"/>
                  </w14:solidFill>
                </w14:textFill>
              </w:rPr>
              <w:t>）普通科研人员的科研首页中应能清晰的看到自己负责的项目信息、进度信息等内容；</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4</w:t>
            </w:r>
            <w:r>
              <w:rPr>
                <w:rFonts w:hint="eastAsia" w:ascii="宋体" w:hAnsi="宋体" w:cs="仿宋"/>
                <w:color w:val="000000" w:themeColor="text1"/>
                <w:kern w:val="0"/>
                <w:szCs w:val="21"/>
                <w14:textFill>
                  <w14:solidFill>
                    <w14:schemeClr w14:val="tx1"/>
                  </w14:solidFill>
                </w14:textFill>
              </w:rPr>
              <w:t>）普通科研人员的科研首页中应能清晰的看到相关通知公告、规章制度、常用下载等信息发布板块；</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每符合一项内容得1分，最高得4分，没有得0分。</w:t>
            </w:r>
          </w:p>
          <w:p>
            <w:pPr>
              <w:rPr>
                <w:rFonts w:ascii="宋体" w:hAnsi="宋体" w:cs="仿宋"/>
                <w:b/>
                <w:bCs/>
                <w:color w:val="000000" w:themeColor="text1"/>
                <w:kern w:val="0"/>
                <w:szCs w:val="21"/>
                <w:u w:val="single"/>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3.</w:t>
            </w:r>
            <w:r>
              <w:rPr>
                <w:rFonts w:hint="eastAsia" w:ascii="宋体" w:hAnsi="宋体" w:cs="仿宋"/>
                <w:b/>
                <w:bCs/>
                <w:color w:val="000000" w:themeColor="text1"/>
                <w:kern w:val="0"/>
                <w:szCs w:val="21"/>
                <w:u w:val="single"/>
                <w14:textFill>
                  <w14:solidFill>
                    <w14:schemeClr w14:val="tx1"/>
                  </w14:solidFill>
                </w14:textFill>
              </w:rPr>
              <w:t>科研项目管理演示：</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1）</w:t>
            </w:r>
            <w:r>
              <w:rPr>
                <w:rFonts w:hint="eastAsia" w:ascii="宋体" w:hAnsi="宋体" w:cs="仿宋"/>
                <w:color w:val="000000" w:themeColor="text1"/>
                <w:kern w:val="0"/>
                <w:szCs w:val="21"/>
                <w14:textFill>
                  <w14:solidFill>
                    <w14:schemeClr w14:val="tx1"/>
                  </w14:solidFill>
                </w14:textFill>
              </w:rPr>
              <w:t>项目分类清晰（至少包括室属项目、纵向项目两类）、管控手段全面（至少应包括项目指南、项目申请书、项目任务书、项目变更、项目中期检查、项目验收等管控手段）</w:t>
            </w:r>
            <w:r>
              <w:rPr>
                <w:rFonts w:ascii="宋体" w:hAnsi="宋体" w:cs="仿宋"/>
                <w:color w:val="000000" w:themeColor="text1"/>
                <w:kern w:val="0"/>
                <w:szCs w:val="21"/>
                <w14:textFill>
                  <w14:solidFill>
                    <w14:schemeClr w14:val="tx1"/>
                  </w14:solidFill>
                </w14:textFill>
              </w:rPr>
              <w:t>。</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2）</w:t>
            </w:r>
            <w:r>
              <w:rPr>
                <w:rFonts w:hint="eastAsia" w:ascii="宋体" w:hAnsi="宋体" w:cs="仿宋"/>
                <w:color w:val="000000" w:themeColor="text1"/>
                <w:kern w:val="0"/>
                <w:szCs w:val="21"/>
                <w14:textFill>
                  <w14:solidFill>
                    <w14:schemeClr w14:val="tx1"/>
                  </w14:solidFill>
                </w14:textFill>
              </w:rPr>
              <w:t>支持项目各阶段的在线评审，管理人员可定制打分表</w:t>
            </w:r>
            <w:r>
              <w:rPr>
                <w:rFonts w:ascii="宋体" w:hAnsi="宋体" w:cs="仿宋"/>
                <w:color w:val="000000" w:themeColor="text1"/>
                <w:kern w:val="0"/>
                <w:szCs w:val="21"/>
                <w14:textFill>
                  <w14:solidFill>
                    <w14:schemeClr w14:val="tx1"/>
                  </w14:solidFill>
                </w14:textFill>
              </w:rPr>
              <w:t>。</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每符合一项内容得</w:t>
            </w:r>
            <w:r>
              <w:rPr>
                <w:rFonts w:ascii="宋体" w:hAnsi="宋体" w:cs="仿宋"/>
                <w:color w:val="000000" w:themeColor="text1"/>
                <w:kern w:val="0"/>
                <w:szCs w:val="21"/>
                <w14:textFill>
                  <w14:solidFill>
                    <w14:schemeClr w14:val="tx1"/>
                  </w14:solidFill>
                </w14:textFill>
              </w:rPr>
              <w:t>2分，最高得4分，没有得0分。</w:t>
            </w:r>
          </w:p>
          <w:p>
            <w:pPr>
              <w:rPr>
                <w:rFonts w:ascii="宋体" w:hAnsi="宋体" w:cs="仿宋"/>
                <w:color w:val="000000" w:themeColor="text1"/>
                <w:kern w:val="0"/>
                <w:szCs w:val="21"/>
                <w14:textFill>
                  <w14:solidFill>
                    <w14:schemeClr w14:val="tx1"/>
                  </w14:solidFill>
                </w14:textFill>
              </w:rPr>
            </w:pPr>
            <w:r>
              <w:rPr>
                <w:rFonts w:ascii="宋体" w:hAnsi="宋体" w:cs="仿宋"/>
                <w:b/>
                <w:bCs/>
                <w:color w:val="000000" w:themeColor="text1"/>
                <w:kern w:val="0"/>
                <w:szCs w:val="21"/>
                <w14:textFill>
                  <w14:solidFill>
                    <w14:schemeClr w14:val="tx1"/>
                  </w14:solidFill>
                </w14:textFill>
              </w:rPr>
              <w:t>4</w:t>
            </w:r>
            <w:r>
              <w:rPr>
                <w:rFonts w:hint="eastAsia" w:ascii="宋体" w:hAnsi="宋体" w:cs="仿宋"/>
                <w:b/>
                <w:bCs/>
                <w:color w:val="000000" w:themeColor="text1"/>
                <w:kern w:val="0"/>
                <w:szCs w:val="21"/>
                <w14:textFill>
                  <w14:solidFill>
                    <w14:schemeClr w14:val="tx1"/>
                  </w14:solidFill>
                </w14:textFill>
              </w:rPr>
              <w:t>.常用功能演示</w:t>
            </w:r>
            <w:r>
              <w:rPr>
                <w:rFonts w:hint="eastAsia" w:ascii="宋体" w:hAnsi="宋体" w:cs="仿宋"/>
                <w:color w:val="000000" w:themeColor="text1"/>
                <w:kern w:val="0"/>
                <w:szCs w:val="21"/>
                <w14:textFill>
                  <w14:solidFill>
                    <w14:schemeClr w14:val="tx1"/>
                  </w14:solidFill>
                </w14:textFill>
              </w:rPr>
              <w:t>：</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（1）全文检索，输入关键字，可检索出相关文档附件。</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（2）定制工作流，要求要有可视化的流程设计器。</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（3）费用科目映射，可配置财务科目与预算科目的映射关系。</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每符合一项内容得</w:t>
            </w:r>
            <w:r>
              <w:rPr>
                <w:rFonts w:ascii="宋体" w:hAnsi="宋体" w:cs="仿宋"/>
                <w:color w:val="000000" w:themeColor="text1"/>
                <w:kern w:val="0"/>
                <w:szCs w:val="21"/>
                <w14:textFill>
                  <w14:solidFill>
                    <w14:schemeClr w14:val="tx1"/>
                  </w14:solidFill>
                </w14:textFill>
              </w:rPr>
              <w:t>2</w:t>
            </w:r>
            <w:r>
              <w:rPr>
                <w:rFonts w:hint="eastAsia" w:ascii="宋体" w:hAnsi="宋体" w:cs="仿宋"/>
                <w:color w:val="000000" w:themeColor="text1"/>
                <w:kern w:val="0"/>
                <w:szCs w:val="21"/>
                <w14:textFill>
                  <w14:solidFill>
                    <w14:schemeClr w14:val="tx1"/>
                  </w14:solidFill>
                </w14:textFill>
              </w:rPr>
              <w:t>分，最高得</w:t>
            </w:r>
            <w:r>
              <w:rPr>
                <w:rFonts w:ascii="宋体" w:hAnsi="宋体" w:cs="仿宋"/>
                <w:color w:val="000000" w:themeColor="text1"/>
                <w:kern w:val="0"/>
                <w:szCs w:val="21"/>
                <w14:textFill>
                  <w14:solidFill>
                    <w14:schemeClr w14:val="tx1"/>
                  </w14:solidFill>
                </w14:textFill>
              </w:rPr>
              <w:t>6</w:t>
            </w:r>
            <w:r>
              <w:rPr>
                <w:rFonts w:hint="eastAsia" w:ascii="宋体" w:hAnsi="宋体" w:cs="仿宋"/>
                <w:color w:val="000000" w:themeColor="text1"/>
                <w:kern w:val="0"/>
                <w:szCs w:val="21"/>
                <w14:textFill>
                  <w14:solidFill>
                    <w14:schemeClr w14:val="tx1"/>
                  </w14:solidFill>
                </w14:textFill>
              </w:rPr>
              <w:t>分，没有得0分。</w:t>
            </w:r>
          </w:p>
          <w:p>
            <w:pPr>
              <w:rPr>
                <w:rFonts w:ascii="宋体" w:hAnsi="宋体" w:cs="仿宋"/>
                <w:b/>
                <w:bCs/>
                <w:color w:val="000000" w:themeColor="text1"/>
                <w:kern w:val="0"/>
                <w:szCs w:val="21"/>
                <w14:textFill>
                  <w14:solidFill>
                    <w14:schemeClr w14:val="tx1"/>
                  </w14:solidFill>
                </w14:textFill>
              </w:rPr>
            </w:pPr>
            <w:r>
              <w:rPr>
                <w:rFonts w:ascii="宋体" w:hAnsi="宋体" w:cs="仿宋"/>
                <w:b/>
                <w:bCs/>
                <w:color w:val="000000" w:themeColor="text1"/>
                <w:kern w:val="0"/>
                <w:szCs w:val="21"/>
                <w14:textFill>
                  <w14:solidFill>
                    <w14:schemeClr w14:val="tx1"/>
                  </w14:solidFill>
                </w14:textFill>
              </w:rPr>
              <w:t>5</w:t>
            </w:r>
            <w:r>
              <w:rPr>
                <w:rFonts w:hint="eastAsia" w:ascii="宋体" w:hAnsi="宋体" w:cs="仿宋"/>
                <w:b/>
                <w:bCs/>
                <w:color w:val="000000" w:themeColor="text1"/>
                <w:kern w:val="0"/>
                <w:szCs w:val="21"/>
                <w14:textFill>
                  <w14:solidFill>
                    <w14:schemeClr w14:val="tx1"/>
                  </w14:solidFill>
                </w14:textFill>
              </w:rPr>
              <w:t>.移动端服务</w:t>
            </w:r>
          </w:p>
          <w:p>
            <w:pP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具备移动端服务功能，能够实现①移动端通知、②业务审批和③数据查看等功能。</w:t>
            </w:r>
          </w:p>
          <w:p>
            <w:pPr>
              <w:pStyle w:val="17"/>
              <w:spacing w:after="0" w:line="380" w:lineRule="exact"/>
              <w:ind w:left="0" w:leftChars="0" w:firstLine="0" w:firstLineChars="0"/>
              <w:rPr>
                <w:rFonts w:ascii="宋体" w:hAnsi="宋体" w:cs="仿宋"/>
                <w:b/>
                <w:bCs/>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每符合一项内容得1分，最高得3分，没有得0分。</w:t>
            </w:r>
          </w:p>
          <w:p>
            <w:pPr>
              <w:rPr>
                <w:rFonts w:ascii="宋体" w:hAnsi="宋体" w:cs="仿宋"/>
                <w:b/>
                <w:bCs/>
                <w:color w:val="000000" w:themeColor="text1"/>
                <w:kern w:val="0"/>
                <w:szCs w:val="21"/>
                <w14:textFill>
                  <w14:solidFill>
                    <w14:schemeClr w14:val="tx1"/>
                  </w14:solidFill>
                </w14:textFill>
              </w:rPr>
            </w:pPr>
            <w:r>
              <w:rPr>
                <w:rFonts w:ascii="宋体" w:hAnsi="宋体" w:cs="仿宋"/>
                <w:b/>
                <w:bCs/>
                <w:color w:val="000000" w:themeColor="text1"/>
                <w:kern w:val="0"/>
                <w:szCs w:val="21"/>
                <w14:textFill>
                  <w14:solidFill>
                    <w14:schemeClr w14:val="tx1"/>
                  </w14:solidFill>
                </w14:textFill>
              </w:rPr>
              <w:t>6</w:t>
            </w:r>
            <w:r>
              <w:rPr>
                <w:rFonts w:hint="eastAsia" w:ascii="宋体" w:hAnsi="宋体" w:cs="仿宋"/>
                <w:b/>
                <w:bCs/>
                <w:color w:val="000000" w:themeColor="text1"/>
                <w:kern w:val="0"/>
                <w:szCs w:val="21"/>
                <w14:textFill>
                  <w14:solidFill>
                    <w14:schemeClr w14:val="tx1"/>
                  </w14:solidFill>
                </w14:textFill>
              </w:rPr>
              <w:t>.系统易用性</w:t>
            </w:r>
          </w:p>
          <w:p>
            <w:pPr>
              <w:pStyle w:val="17"/>
              <w:spacing w:after="0" w:line="380" w:lineRule="exact"/>
              <w:ind w:left="0" w:leftChars="0"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科研人员和科研管理人员角度出发，从用户界面端口进入进行演示：①方便快捷的提供科研总体情况、科研数据分析、专利及成果等科研数据，②丰富详实的展示科研人员的研究方向、科研成果等数据，③方便科研管理人员导出各类数据与报表，能够全面地实现科研数据的可视化并能直接导出，且提供数据分析报告。每符合一项内容得2分，最高的6分，没有得0分。</w:t>
            </w:r>
          </w:p>
          <w:p>
            <w:pPr>
              <w:pStyle w:val="17"/>
              <w:spacing w:after="0" w:line="380" w:lineRule="exact"/>
              <w:ind w:left="0" w:leftChars="0" w:firstLine="0" w:firstLineChars="0"/>
              <w:rPr>
                <w:rFonts w:ascii="宋体" w:hAnsi="宋体"/>
                <w:color w:val="000000" w:themeColor="text1"/>
                <w:kern w:val="0"/>
                <w:szCs w:val="21"/>
                <w:lang w:val="zh-CN"/>
                <w14:textFill>
                  <w14:solidFill>
                    <w14:schemeClr w14:val="tx1"/>
                  </w14:solidFill>
                </w14:textFill>
              </w:rPr>
            </w:pPr>
            <w:r>
              <w:rPr>
                <w:rFonts w:hint="eastAsia" w:ascii="宋体" w:hAnsi="宋体"/>
                <w:b/>
                <w:color w:val="000000" w:themeColor="text1"/>
                <w14:textFill>
                  <w14:solidFill>
                    <w14:schemeClr w14:val="tx1"/>
                  </w14:solidFill>
                </w14:textFill>
              </w:rPr>
              <w:t>注：投标人需自行准备演示的电脑，并于演示前自行调试好相关设备。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Merge w:val="continue"/>
            <w:tcBorders>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56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项目实施方案</w:t>
            </w:r>
          </w:p>
          <w:p>
            <w:pPr>
              <w:adjustRightInd w:val="0"/>
              <w:snapToGrid w:val="0"/>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（4分）</w:t>
            </w:r>
          </w:p>
        </w:tc>
        <w:tc>
          <w:tcPr>
            <w:tcW w:w="6378" w:type="dxa"/>
            <w:tcBorders>
              <w:top w:val="single" w:color="auto" w:sz="6" w:space="0"/>
              <w:left w:val="single" w:color="auto" w:sz="4" w:space="0"/>
              <w:bottom w:val="single" w:color="auto" w:sz="6" w:space="0"/>
              <w:right w:val="double" w:color="auto" w:sz="4" w:space="0"/>
            </w:tcBorders>
          </w:tcPr>
          <w:p>
            <w:pPr>
              <w:adjustRightInd w:val="0"/>
              <w:snapToGrid w:val="0"/>
              <w:spacing w:line="380" w:lineRule="exact"/>
              <w:jc w:val="left"/>
              <w:rPr>
                <w:rFonts w:ascii="宋体" w:hAnsi="宋体"/>
                <w:b/>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提供项目实施方案，包括但不限于①项目实施进度安排方案；②质量保证措施方案；③风险控制方案；④验收与运行方案。方案完全满足采购需求，内容详细完整、合理、逻辑清晰，可行性强的每项计1分；不够完善的每项计0.5分；未提供或不合理的不得分。满分为4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Merge w:val="restart"/>
            <w:tcBorders>
              <w:top w:val="single" w:color="auto" w:sz="6" w:space="0"/>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75" w:type="dxa"/>
            <w:vMerge w:val="restart"/>
            <w:tcBorders>
              <w:top w:val="single" w:color="auto" w:sz="6" w:space="0"/>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商务评价项（A3</w:t>
            </w:r>
            <w:r>
              <w:rPr>
                <w:rFonts w:ascii="宋体" w:hAnsi="宋体"/>
                <w:color w:val="000000" w:themeColor="text1"/>
                <w:szCs w:val="21"/>
                <w14:textFill>
                  <w14:solidFill>
                    <w14:schemeClr w14:val="tx1"/>
                  </w14:solidFill>
                </w14:textFill>
              </w:rPr>
              <w:t xml:space="preserve"> 30分</w:t>
            </w:r>
            <w:r>
              <w:rPr>
                <w:rFonts w:hint="eastAsia" w:ascii="宋体" w:hAnsi="宋体"/>
                <w:color w:val="000000" w:themeColor="text1"/>
                <w:szCs w:val="21"/>
                <w14:textFill>
                  <w14:solidFill>
                    <w14:schemeClr w14:val="tx1"/>
                  </w14:solidFill>
                </w14:textFill>
              </w:rPr>
              <w:t>）</w:t>
            </w:r>
          </w:p>
        </w:tc>
        <w:tc>
          <w:tcPr>
            <w:tcW w:w="156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服务保障与承诺（1</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tc>
        <w:tc>
          <w:tcPr>
            <w:tcW w:w="6378" w:type="dxa"/>
            <w:tcBorders>
              <w:top w:val="single" w:color="auto" w:sz="6" w:space="0"/>
              <w:left w:val="single" w:color="auto" w:sz="4" w:space="0"/>
              <w:bottom w:val="single" w:color="auto" w:sz="6" w:space="0"/>
              <w:right w:val="double" w:color="auto" w:sz="4" w:space="0"/>
            </w:tcBorders>
            <w:vAlign w:val="center"/>
          </w:tcPr>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1.系统验收通过后能提供</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年以上售后质保技术服务，并能在延长的质保期内新增</w:t>
            </w:r>
            <w:r>
              <w:rPr>
                <w:rFonts w:hint="eastAsia" w:ascii="宋体" w:hAnsi="宋体" w:cs="宋体"/>
                <w:color w:val="000000" w:themeColor="text1"/>
                <w:szCs w:val="21"/>
                <w14:textFill>
                  <w14:solidFill>
                    <w14:schemeClr w14:val="tx1"/>
                  </w14:solidFill>
                </w14:textFill>
              </w:rPr>
              <w:t>局部</w:t>
            </w:r>
            <w:r>
              <w:rPr>
                <w:rFonts w:ascii="宋体" w:hAnsi="宋体" w:cs="宋体"/>
                <w:color w:val="000000" w:themeColor="text1"/>
                <w:szCs w:val="21"/>
                <w14:textFill>
                  <w14:solidFill>
                    <w14:schemeClr w14:val="tx1"/>
                  </w14:solidFill>
                </w14:textFill>
              </w:rPr>
              <w:t>功能内容、免费调整更新内容、免费无条件完善系统，每延保一年得1分，最高得4分。</w:t>
            </w:r>
          </w:p>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2.提出明确的</w:t>
            </w:r>
            <w:r>
              <w:rPr>
                <w:rFonts w:hint="eastAsia" w:ascii="宋体" w:hAnsi="宋体" w:cs="宋体"/>
                <w:color w:val="000000" w:themeColor="text1"/>
                <w:szCs w:val="21"/>
                <w14:textFill>
                  <w14:solidFill>
                    <w14:schemeClr w14:val="tx1"/>
                  </w14:solidFill>
                </w14:textFill>
              </w:rPr>
              <w:t>①</w:t>
            </w:r>
            <w:r>
              <w:rPr>
                <w:rFonts w:ascii="宋体" w:hAnsi="宋体" w:cs="宋体"/>
                <w:color w:val="000000" w:themeColor="text1"/>
                <w:szCs w:val="21"/>
                <w14:textFill>
                  <w14:solidFill>
                    <w14:schemeClr w14:val="tx1"/>
                  </w14:solidFill>
                </w14:textFill>
              </w:rPr>
              <w:t>售后服务方案、售后服务承诺</w:t>
            </w:r>
            <w:r>
              <w:rPr>
                <w:rFonts w:hint="eastAsia" w:ascii="宋体" w:hAnsi="宋体" w:cs="宋体"/>
                <w:color w:val="000000" w:themeColor="text1"/>
                <w:szCs w:val="21"/>
                <w14:textFill>
                  <w14:solidFill>
                    <w14:schemeClr w14:val="tx1"/>
                  </w14:solidFill>
                </w14:textFill>
              </w:rPr>
              <w:t>、②技术支持与更新服务方案、③故障响应方案</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④</w:t>
            </w:r>
            <w:r>
              <w:rPr>
                <w:rFonts w:ascii="宋体" w:hAnsi="宋体" w:cs="宋体"/>
                <w:color w:val="000000" w:themeColor="text1"/>
                <w:szCs w:val="21"/>
                <w14:textFill>
                  <w14:solidFill>
                    <w14:schemeClr w14:val="tx1"/>
                  </w14:solidFill>
                </w14:textFill>
              </w:rPr>
              <w:t>培训计划、目标和培训课程内容，保证培训成效的措施</w:t>
            </w:r>
            <w:r>
              <w:rPr>
                <w:rFonts w:hint="eastAsia" w:ascii="宋体" w:hAnsi="宋体" w:cs="宋体"/>
                <w:color w:val="000000" w:themeColor="text1"/>
                <w:szCs w:val="21"/>
                <w14:textFill>
                  <w14:solidFill>
                    <w14:schemeClr w14:val="tx1"/>
                  </w14:solidFill>
                </w14:textFill>
              </w:rPr>
              <w:t>。方案完全满足采购需求，内容详细完整、合理、逻辑清晰，可行性强的每项计2分；不够完善的每项计1分；未提供或不合理的不得分。满分为8分。</w:t>
            </w:r>
          </w:p>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承诺中标后</w:t>
            </w:r>
            <w:r>
              <w:rPr>
                <w:rFonts w:hint="eastAsia" w:ascii="宋体" w:hAnsi="宋体" w:cs="宋体"/>
                <w:color w:val="000000" w:themeColor="text1"/>
                <w:szCs w:val="21"/>
                <w14:textFill>
                  <w14:solidFill>
                    <w14:schemeClr w14:val="tx1"/>
                  </w14:solidFill>
                </w14:textFill>
              </w:rPr>
              <w:t>质保期内</w:t>
            </w:r>
            <w:r>
              <w:rPr>
                <w:rFonts w:ascii="宋体" w:hAnsi="宋体" w:cs="宋体"/>
                <w:color w:val="000000" w:themeColor="text1"/>
                <w:szCs w:val="21"/>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厦门</w:t>
            </w:r>
            <w:r>
              <w:rPr>
                <w:rFonts w:ascii="宋体" w:hAnsi="宋体" w:cs="宋体"/>
                <w:color w:val="000000" w:themeColor="text1"/>
                <w:szCs w:val="21"/>
                <w14:textFill>
                  <w14:solidFill>
                    <w14:schemeClr w14:val="tx1"/>
                  </w14:solidFill>
                </w14:textFill>
              </w:rPr>
              <w:t>设常驻专职人员，满足得2分，不满足不得分。</w:t>
            </w:r>
          </w:p>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.现场响应时间：投标人承诺</w:t>
            </w:r>
            <w:r>
              <w:rPr>
                <w:rFonts w:hint="eastAsia" w:ascii="宋体" w:hAnsi="宋体" w:cs="宋体"/>
                <w:color w:val="000000" w:themeColor="text1"/>
                <w:szCs w:val="21"/>
                <w14:textFill>
                  <w14:solidFill>
                    <w14:schemeClr w14:val="tx1"/>
                  </w14:solidFill>
                </w14:textFill>
              </w:rPr>
              <w:t>2小时内解决系统出现的问题，</w:t>
            </w:r>
            <w:r>
              <w:rPr>
                <w:rFonts w:ascii="宋体" w:hAnsi="宋体" w:cs="宋体"/>
                <w:color w:val="000000" w:themeColor="text1"/>
                <w:szCs w:val="21"/>
                <w14:textFill>
                  <w14:solidFill>
                    <w14:schemeClr w14:val="tx1"/>
                  </w14:solidFill>
                </w14:textFill>
              </w:rPr>
              <w:t>需要提供现场服务时能在2小时内到达现场，计</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分；承诺能在24小时内到达现场者计1分；其他不计分。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Merge w:val="continue"/>
            <w:tcBorders>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56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业绩及信誉</w:t>
            </w:r>
          </w:p>
          <w:p>
            <w:pPr>
              <w:adjustRightInd w:val="0"/>
              <w:snapToGrid w:val="0"/>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（8分）</w:t>
            </w:r>
          </w:p>
        </w:tc>
        <w:tc>
          <w:tcPr>
            <w:tcW w:w="6378" w:type="dxa"/>
            <w:tcBorders>
              <w:top w:val="single" w:color="auto" w:sz="6" w:space="0"/>
              <w:left w:val="single" w:color="auto" w:sz="4" w:space="0"/>
              <w:bottom w:val="single" w:color="auto" w:sz="6" w:space="0"/>
              <w:right w:val="double" w:color="auto" w:sz="4" w:space="0"/>
            </w:tcBorders>
            <w:vAlign w:val="center"/>
          </w:tcPr>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专业性：投标人提供2016年1月1日至开标当日科研管理信息化系统相关案例，每提供1个得</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分，最高得5分。投标人须提供该业绩项目的采购合同文本扫描件，以及能够证明该业绩项目已经验收合格的相关证明文件扫描件；如未按要求提供该项业绩完整资料的，评委对该项业绩应不予采信。</w:t>
            </w:r>
          </w:p>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客户评价及服务的持续性：1）投标人应该提供至少一个客户方优秀评价证明材料;  2)同一客户多次合作证明（至少三次、合同可以是运维合同或者二次开发合同），需提供对应的合作协议或合同作为证明材料。每项1.5分 ，最高3分，不符合不得分。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Merge w:val="continue"/>
            <w:tcBorders>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56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投标人研发实力</w:t>
            </w:r>
          </w:p>
          <w:p>
            <w:pPr>
              <w:adjustRightInd w:val="0"/>
              <w:snapToGrid w:val="0"/>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（5分）</w:t>
            </w:r>
          </w:p>
        </w:tc>
        <w:tc>
          <w:tcPr>
            <w:tcW w:w="6378" w:type="dxa"/>
            <w:tcBorders>
              <w:top w:val="single" w:color="auto" w:sz="6" w:space="0"/>
              <w:left w:val="single" w:color="auto" w:sz="4" w:space="0"/>
              <w:bottom w:val="single" w:color="auto" w:sz="6" w:space="0"/>
              <w:right w:val="double" w:color="auto" w:sz="4" w:space="0"/>
            </w:tcBorders>
            <w:vAlign w:val="center"/>
          </w:tcPr>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1.投标人具有与科研管理与服务平台相关的自主知识产权的计算机软件著作权登记证书，每个证书计1分，最多计3分，提供证书原件及复印件，未提供不得分；</w:t>
            </w:r>
          </w:p>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拟投入的项目经理具备5年及以上项目经理经历，领导3个及以上科研管理相关系统项目，项目经理须提供2015年1月1日至开标当日由投标人公司缴纳的社会养老保险证明材料，和该项目经理以往实施科研信息化项目验收报告，必须有项目经理签字页复印件，完全符合得2分，不符合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Merge w:val="continue"/>
            <w:tcBorders>
              <w:left w:val="doub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widowControl/>
              <w:spacing w:line="380" w:lineRule="exact"/>
              <w:jc w:val="left"/>
              <w:rPr>
                <w:rFonts w:ascii="宋体" w:hAnsi="宋体"/>
                <w:color w:val="000000" w:themeColor="text1"/>
                <w:szCs w:val="21"/>
                <w14:textFill>
                  <w14:solidFill>
                    <w14:schemeClr w14:val="tx1"/>
                  </w14:solidFill>
                </w14:textFill>
              </w:rPr>
            </w:pPr>
          </w:p>
        </w:tc>
        <w:tc>
          <w:tcPr>
            <w:tcW w:w="156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w:t>
            </w:r>
            <w:r>
              <w:rPr>
                <w:rFonts w:ascii="宋体" w:hAnsi="宋体" w:cs="宋体"/>
                <w:color w:val="000000" w:themeColor="text1"/>
                <w:szCs w:val="21"/>
                <w14:textFill>
                  <w14:solidFill>
                    <w14:schemeClr w14:val="tx1"/>
                  </w14:solidFill>
                </w14:textFill>
              </w:rPr>
              <w:t>编制（</w:t>
            </w:r>
            <w:r>
              <w:rPr>
                <w:rFonts w:hint="eastAsia" w:ascii="宋体" w:hAnsi="宋体" w:cs="宋体"/>
                <w:color w:val="000000" w:themeColor="text1"/>
                <w:szCs w:val="21"/>
                <w14:textFill>
                  <w14:solidFill>
                    <w14:schemeClr w14:val="tx1"/>
                  </w14:solidFill>
                </w14:textFill>
              </w:rPr>
              <w:t>1分</w:t>
            </w:r>
            <w:r>
              <w:rPr>
                <w:rFonts w:ascii="宋体" w:hAnsi="宋体" w:cs="宋体"/>
                <w:color w:val="000000" w:themeColor="text1"/>
                <w:szCs w:val="21"/>
                <w14:textFill>
                  <w14:solidFill>
                    <w14:schemeClr w14:val="tx1"/>
                  </w14:solidFill>
                </w14:textFill>
              </w:rPr>
              <w:t>）</w:t>
            </w:r>
          </w:p>
        </w:tc>
        <w:tc>
          <w:tcPr>
            <w:tcW w:w="6378" w:type="dxa"/>
            <w:tcBorders>
              <w:top w:val="single" w:color="auto" w:sz="6" w:space="0"/>
              <w:left w:val="single" w:color="auto" w:sz="4" w:space="0"/>
              <w:bottom w:val="single" w:color="auto" w:sz="6" w:space="0"/>
              <w:right w:val="double" w:color="auto" w:sz="4" w:space="0"/>
            </w:tcBorders>
            <w:vAlign w:val="center"/>
          </w:tcPr>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投标文件按招标文件规定的格式、顺序编制，有目录、编页码;书面整洁无涂改、没有缺漏项；价格数量等计算准确的计1分。不符合要求的，每处扣0.5分，扣完为止。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23" w:type="dxa"/>
            <w:gridSpan w:val="4"/>
            <w:tcBorders>
              <w:left w:val="double" w:color="auto" w:sz="4" w:space="0"/>
              <w:bottom w:val="double" w:color="auto" w:sz="4" w:space="0"/>
              <w:right w:val="double" w:color="auto" w:sz="4" w:space="0"/>
            </w:tcBorders>
            <w:vAlign w:val="center"/>
          </w:tcPr>
          <w:p>
            <w:pPr>
              <w:adjustRightInd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最终评审得分</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技术因素+商务因素</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价格评分</w:t>
            </w:r>
          </w:p>
        </w:tc>
      </w:tr>
    </w:tbl>
    <w:p>
      <w:pPr>
        <w:rPr>
          <w:color w:val="000000" w:themeColor="text1"/>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由于评分主要根据响应文件提供的资料进行，供应商须自行承担由于资料提供不全、错漏、或者无效而导致的不利评审，并对自身提供的响应文件、资料的真实可靠性负责。若因供应商提供的文件资料存在弄虚作假情况，谈判小组有权取消其成交资格。</w:t>
      </w:r>
    </w:p>
    <w:p>
      <w:pPr>
        <w:pStyle w:val="30"/>
        <w:numPr>
          <w:ilvl w:val="1"/>
          <w:numId w:val="9"/>
        </w:numPr>
        <w:ind w:firstLineChars="0"/>
        <w:rPr>
          <w:rFonts w:ascii="宋体" w:hAnsi="宋体" w:cs="微软雅黑"/>
          <w:color w:val="000000" w:themeColor="text1"/>
          <w:kern w:val="0"/>
          <w:sz w:val="24"/>
          <w:szCs w:val="24"/>
          <w14:textFill>
            <w14:solidFill>
              <w14:schemeClr w14:val="tx1"/>
            </w14:solidFill>
          </w14:textFill>
        </w:rPr>
      </w:pPr>
      <w:r>
        <w:rPr>
          <w:rFonts w:hint="eastAsia" w:ascii="宋体" w:hAnsi="宋体" w:cs="微软雅黑"/>
          <w:color w:val="000000" w:themeColor="text1"/>
          <w:kern w:val="0"/>
          <w:sz w:val="24"/>
          <w:szCs w:val="24"/>
          <w14:textFill>
            <w14:solidFill>
              <w14:schemeClr w14:val="tx1"/>
            </w14:solidFill>
          </w14:textFill>
        </w:rPr>
        <w:t>磋商小组依据总分（技术分与报价分之和）由高到低的顺序确定总分最高的响应方为中标供应商，并拟制磋商结果报告。</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谈判小组只对实质上响应磋商谈判文件的响应进行评价和比较；评审应严格按照磋商谈判文件的要求和条件进行；具体评审原则、方法和成交条件：招标价格，技术方案，企业规模、品牌代理实力、经营能力、企业管理水平。</w:t>
      </w:r>
    </w:p>
    <w:p>
      <w:pPr>
        <w:pStyle w:val="28"/>
        <w:widowControl w:val="0"/>
        <w:numPr>
          <w:ilvl w:val="0"/>
          <w:numId w:val="9"/>
        </w:numPr>
        <w:tabs>
          <w:tab w:val="clear" w:pos="709"/>
        </w:tabs>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确定成交人</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谈判小组应当根据评审情况，推荐候选供应商排名顺序。</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采购人将确定排名第一的成交候选人为成交人并向其授予合同。排名第一的成交候选人因不可抗力或者自身原因不能履行合同</w:t>
      </w:r>
      <w:r>
        <w:rPr>
          <w:rFonts w:hint="eastAsia" w:ascii="宋体" w:eastAsia="宋体" w:cs="微软雅黑"/>
          <w:color w:val="000000" w:themeColor="text1"/>
          <w:sz w:val="24"/>
          <w:szCs w:val="24"/>
          <w:lang w:eastAsia="zh-CN"/>
          <w14:textFill>
            <w14:solidFill>
              <w14:schemeClr w14:val="tx1"/>
            </w14:solidFill>
          </w14:textFill>
        </w:rPr>
        <w:t>。</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采购人也可授权谈判小组按本条规定直接确定成交人。</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采购人出磋商谈判规定外，不得通过对样品进行检测、对供应商进行考察等方式改变评审结果。</w:t>
      </w:r>
    </w:p>
    <w:p>
      <w:pPr>
        <w:pStyle w:val="28"/>
        <w:widowControl w:val="0"/>
        <w:numPr>
          <w:ilvl w:val="0"/>
          <w:numId w:val="9"/>
        </w:numPr>
        <w:tabs>
          <w:tab w:val="clear" w:pos="709"/>
        </w:tabs>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评标过程保密</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响应截止时间之后，直到授予响应人合同止，凡是属于审查、澄清、评价和比较响应的有关资料以及授标意向等，均不向响应人或其他与评标无关的人员透露。</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在评标期间，响应人企图影响招投标中心或谈判小组的任何活动，将导致响应被拒绝，并由其承担相应的法律责任。</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pPr>
        <w:pStyle w:val="28"/>
        <w:widowControl w:val="0"/>
        <w:numPr>
          <w:ilvl w:val="0"/>
          <w:numId w:val="9"/>
        </w:numPr>
        <w:tabs>
          <w:tab w:val="clear" w:pos="709"/>
        </w:tabs>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关于响应人瑕疵滞后发现的处理规则：</w:t>
      </w:r>
    </w:p>
    <w:p>
      <w:pPr>
        <w:pStyle w:val="28"/>
        <w:widowControl w:val="0"/>
        <w:numPr>
          <w:ilvl w:val="1"/>
          <w:numId w:val="9"/>
        </w:numPr>
        <w:adjustRightIn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无论基于何种原因，各项本应作拒绝处理的情形即便未被及时发现而使该响应人进入初审、详细评审或其它后续程序，包括已经签约的情形，一旦在任何时间被发现存在上述情形，则向监督部门反映。</w:t>
      </w:r>
    </w:p>
    <w:p>
      <w:pPr>
        <w:pStyle w:val="28"/>
        <w:widowControl w:val="0"/>
        <w:numPr>
          <w:ilvl w:val="0"/>
          <w:numId w:val="9"/>
        </w:numPr>
        <w:tabs>
          <w:tab w:val="clear" w:pos="709"/>
        </w:tabs>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采购项目废标</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在评标过程中，谈判小组发现有下列情形之一的，应对采购项目予以废标：</w:t>
      </w:r>
    </w:p>
    <w:p>
      <w:pPr>
        <w:numPr>
          <w:ilvl w:val="0"/>
          <w:numId w:val="12"/>
        </w:numPr>
        <w:adjustRightInd w:val="0"/>
        <w:snapToGrid w:val="0"/>
        <w:spacing w:line="400" w:lineRule="exact"/>
        <w:jc w:val="left"/>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因情况变化，不再符合规定的竞争性磋商采购方式适用情形的；</w:t>
      </w:r>
    </w:p>
    <w:p>
      <w:pPr>
        <w:numPr>
          <w:ilvl w:val="0"/>
          <w:numId w:val="12"/>
        </w:numPr>
        <w:adjustRightInd w:val="0"/>
        <w:snapToGrid w:val="0"/>
        <w:spacing w:line="400" w:lineRule="exact"/>
        <w:jc w:val="left"/>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出现影响采购公正的违法、违规行为的；</w:t>
      </w:r>
    </w:p>
    <w:p>
      <w:pPr>
        <w:tabs>
          <w:tab w:val="left" w:pos="1200"/>
        </w:tabs>
        <w:adjustRightInd w:val="0"/>
        <w:snapToGrid w:val="0"/>
        <w:spacing w:line="400" w:lineRule="exact"/>
        <w:ind w:left="480"/>
        <w:jc w:val="left"/>
        <w:rPr>
          <w:rFonts w:ascii="宋体" w:cs="微软雅黑"/>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采购项目废标后，谈判小组应作出书面报告。</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pPr>
        <w:pStyle w:val="28"/>
        <w:widowControl w:val="0"/>
        <w:numPr>
          <w:ilvl w:val="1"/>
          <w:numId w:val="9"/>
        </w:numPr>
        <w:adjustRightInd w:val="0"/>
        <w:snapToGrid w:val="0"/>
        <w:spacing w:before="0" w:beforeAutospacing="0" w:after="0" w:afterAutospacing="0" w:line="400" w:lineRule="exact"/>
        <w:jc w:val="both"/>
        <w:outlineLvl w:val="9"/>
        <w:rPr>
          <w:rFonts w:ascii="宋体" w:eastAsia="宋体" w:cs="微软雅黑"/>
          <w:color w:val="000000" w:themeColor="text1"/>
          <w:sz w:val="24"/>
          <w:szCs w:val="24"/>
          <w14:textFill>
            <w14:solidFill>
              <w14:schemeClr w14:val="tx1"/>
            </w14:solidFill>
          </w14:textFill>
        </w:rPr>
      </w:pPr>
      <w:r>
        <w:rPr>
          <w:rFonts w:hint="eastAsia" w:ascii="宋体" w:eastAsia="宋体" w:cs="微软雅黑"/>
          <w:color w:val="000000" w:themeColor="text1"/>
          <w:sz w:val="24"/>
          <w:szCs w:val="24"/>
          <w14:textFill>
            <w14:solidFill>
              <w14:schemeClr w14:val="tx1"/>
            </w14:solidFill>
          </w14:textFill>
        </w:rPr>
        <w:t>废标后，招投标中心应当将废标原因通知所有响应人。</w:t>
      </w:r>
    </w:p>
    <w:p>
      <w:pPr>
        <w:pStyle w:val="28"/>
        <w:widowControl w:val="0"/>
        <w:tabs>
          <w:tab w:val="left" w:pos="709"/>
        </w:tabs>
        <w:adjustRightInd w:val="0"/>
        <w:snapToGrid w:val="0"/>
        <w:spacing w:before="0" w:beforeAutospacing="0" w:after="0" w:afterAutospacing="0" w:line="400" w:lineRule="exact"/>
        <w:ind w:left="709" w:firstLine="0"/>
        <w:jc w:val="both"/>
        <w:outlineLvl w:val="9"/>
        <w:rPr>
          <w:rFonts w:ascii="宋体" w:eastAsia="宋体" w:cs="微软雅黑"/>
          <w:color w:val="000000" w:themeColor="text1"/>
          <w:sz w:val="24"/>
          <w:szCs w:val="24"/>
          <w14:textFill>
            <w14:solidFill>
              <w14:schemeClr w14:val="tx1"/>
            </w14:solidFill>
          </w14:textFill>
        </w:rPr>
      </w:pPr>
    </w:p>
    <w:p>
      <w:pPr>
        <w:spacing w:line="360" w:lineRule="auto"/>
        <w:jc w:val="center"/>
        <w:rPr>
          <w:b/>
          <w:bCs/>
          <w:color w:val="000000" w:themeColor="text1"/>
          <w:sz w:val="36"/>
          <w14:textFill>
            <w14:solidFill>
              <w14:schemeClr w14:val="tx1"/>
            </w14:solidFill>
          </w14:textFill>
        </w:rPr>
      </w:pPr>
      <w:r>
        <w:rPr>
          <w:b/>
          <w:bCs/>
          <w:color w:val="000000" w:themeColor="text1"/>
          <w:sz w:val="32"/>
          <w:szCs w:val="32"/>
          <w14:textFill>
            <w14:solidFill>
              <w14:schemeClr w14:val="tx1"/>
            </w14:solidFill>
          </w14:textFill>
        </w:rPr>
        <w:br w:type="page"/>
      </w:r>
      <w:r>
        <w:rPr>
          <w:rFonts w:hint="eastAsia"/>
          <w:b/>
          <w:bCs/>
          <w:color w:val="000000" w:themeColor="text1"/>
          <w:sz w:val="36"/>
          <w14:textFill>
            <w14:solidFill>
              <w14:schemeClr w14:val="tx1"/>
            </w14:solidFill>
          </w14:textFill>
        </w:rPr>
        <w:t>第三章  谈判文件说明</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一、报价文件主要包括以下内容：</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报价邀请</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报价一览表</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报价人资格证明文件和工商营业执照有效复印件壹份；</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投标货物符合招标文件规定的证明文件、技术响应文件和投标人认为需要加以说明的其他内容。</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二、报价文件编写：</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报价人应按询价文件中提供的报价文件格式填写报价书、报价一览表，注明提供货物的名称、数量和价格等。</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报价文件分正本壹份和</w:t>
      </w:r>
      <w:bookmarkStart w:id="1" w:name="_GoBack"/>
      <w:bookmarkEnd w:id="1"/>
      <w:r>
        <w:rPr>
          <w:rFonts w:hint="eastAsia" w:ascii="宋体" w:hAnsi="宋体"/>
          <w:color w:val="000000" w:themeColor="text1"/>
          <w:sz w:val="24"/>
          <w14:textFill>
            <w14:solidFill>
              <w14:schemeClr w14:val="tx1"/>
            </w14:solidFill>
          </w14:textFill>
        </w:rPr>
        <w:t>副本</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份，在每一份报价文件要明确注明“正本”或“副本”字样，若正本和副本有差异，以正本为准。</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报价文件封口处须加盖投标人印章或由投标代表签名。</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报价文件正本和副本须打印并经正式授权的投标代表签字。</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除报价人对错处做必要的修改外，报价文件中不允许有加行涂抹。</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以电报、电话、传真或电子邮件等方式的报价概不接受。</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报价人应将文件装订成册。</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三、报价文件的澄清、修改或时间变更</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．报价人可以对已发出的询价文件进行必要的澄清或修改，澄清或修改的内容将依法以书面形式通知所有招标文件收受人。</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该澄清或修改的内容为招标文件的组成部分。</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．采购人可视采购具体情况，延长询价截止时间和开标时间，并依法将变更时间书面通知所有询价文件收受人。</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四、报价文件从开标之日起，报价有效期为</w:t>
      </w:r>
      <w:r>
        <w:rPr>
          <w:rFonts w:ascii="宋体" w:hAnsi="宋体"/>
          <w:color w:val="000000" w:themeColor="text1"/>
          <w:sz w:val="24"/>
          <w14:textFill>
            <w14:solidFill>
              <w14:schemeClr w14:val="tx1"/>
            </w14:solidFill>
          </w14:textFill>
        </w:rPr>
        <w:t>90</w:t>
      </w:r>
      <w:r>
        <w:rPr>
          <w:rFonts w:hint="eastAsia" w:ascii="宋体" w:hAnsi="宋体"/>
          <w:color w:val="000000" w:themeColor="text1"/>
          <w:sz w:val="24"/>
          <w14:textFill>
            <w14:solidFill>
              <w14:schemeClr w14:val="tx1"/>
            </w14:solidFill>
          </w14:textFill>
        </w:rPr>
        <w:t>天</w:t>
      </w: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jc w:val="center"/>
        <w:rPr>
          <w:b/>
          <w:bCs/>
          <w:color w:val="000000" w:themeColor="text1"/>
          <w:sz w:val="36"/>
          <w14:textFill>
            <w14:solidFill>
              <w14:schemeClr w14:val="tx1"/>
            </w14:solidFill>
          </w14:textFill>
        </w:rPr>
      </w:pPr>
      <w:r>
        <w:rPr>
          <w:b/>
          <w:bCs/>
          <w:color w:val="000000" w:themeColor="text1"/>
          <w:sz w:val="32"/>
          <w:szCs w:val="32"/>
          <w14:textFill>
            <w14:solidFill>
              <w14:schemeClr w14:val="tx1"/>
            </w14:solidFill>
          </w14:textFill>
        </w:rPr>
        <w:br w:type="page"/>
      </w:r>
      <w:r>
        <w:rPr>
          <w:rFonts w:hint="eastAsia"/>
          <w:b/>
          <w:bCs/>
          <w:color w:val="000000" w:themeColor="text1"/>
          <w:sz w:val="36"/>
          <w14:textFill>
            <w14:solidFill>
              <w14:schemeClr w14:val="tx1"/>
            </w14:solidFill>
          </w14:textFill>
        </w:rPr>
        <w:t>第四章  谈判文件格式</w:t>
      </w:r>
    </w:p>
    <w:p>
      <w:pPr>
        <w:spacing w:line="360" w:lineRule="auto"/>
        <w:rPr>
          <w:rFonts w:ascii="宋体"/>
          <w:color w:val="000000" w:themeColor="text1"/>
          <w:sz w:val="24"/>
          <w14:textFill>
            <w14:solidFill>
              <w14:schemeClr w14:val="tx1"/>
            </w14:solidFill>
          </w14:textFill>
        </w:rPr>
      </w:pPr>
    </w:p>
    <w:p>
      <w:pPr>
        <w:spacing w:line="360" w:lineRule="auto"/>
        <w:ind w:firstLine="3219" w:firstLineChars="1073"/>
        <w:rPr>
          <w:rFonts w:ascii="宋体"/>
          <w:color w:val="000000" w:themeColor="text1"/>
          <w:sz w:val="30"/>
          <w14:textFill>
            <w14:solidFill>
              <w14:schemeClr w14:val="tx1"/>
            </w14:solidFill>
          </w14:textFill>
        </w:rPr>
      </w:pPr>
      <w:r>
        <w:rPr>
          <w:rFonts w:hint="eastAsia" w:ascii="宋体" w:hAnsi="宋体"/>
          <w:color w:val="000000" w:themeColor="text1"/>
          <w:sz w:val="30"/>
          <w14:textFill>
            <w14:solidFill>
              <w14:schemeClr w14:val="tx1"/>
            </w14:solidFill>
          </w14:textFill>
        </w:rPr>
        <w:t>格式</w:t>
      </w:r>
      <w:r>
        <w:rPr>
          <w:rFonts w:ascii="宋体" w:hAnsi="宋体"/>
          <w:color w:val="000000" w:themeColor="text1"/>
          <w:sz w:val="30"/>
          <w14:textFill>
            <w14:solidFill>
              <w14:schemeClr w14:val="tx1"/>
            </w14:solidFill>
          </w14:textFill>
        </w:rPr>
        <w:t xml:space="preserve">1     </w:t>
      </w:r>
      <w:r>
        <w:rPr>
          <w:rFonts w:hint="eastAsia" w:ascii="宋体" w:hAnsi="宋体"/>
          <w:color w:val="000000" w:themeColor="text1"/>
          <w:sz w:val="30"/>
          <w14:textFill>
            <w14:solidFill>
              <w14:schemeClr w14:val="tx1"/>
            </w14:solidFill>
          </w14:textFill>
        </w:rPr>
        <w:t>报价书</w:t>
      </w:r>
    </w:p>
    <w:p>
      <w:pPr>
        <w:spacing w:line="360" w:lineRule="auto"/>
        <w:rPr>
          <w:rFonts w:asci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嘉庚创新实验室资产采购管理室</w:t>
      </w:r>
    </w:p>
    <w:p>
      <w:pPr>
        <w:spacing w:line="360" w:lineRule="auto"/>
        <w:ind w:firstLine="546" w:firstLineChars="26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根据贵方为（采购编号）招标项目及服务的投标邀请，投标代表（全名、职务），经正式授权并代表投标人（投标人名称）按采购文件规定提交报价文件正本</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份和副本</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份。</w:t>
      </w:r>
    </w:p>
    <w:p>
      <w:pPr>
        <w:spacing w:line="360" w:lineRule="auto"/>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 1 \* GB2 </w:instrText>
      </w:r>
      <w:r>
        <w:rPr>
          <w:rFonts w:ascii="宋体" w:hAnsi="宋体"/>
          <w:color w:val="000000" w:themeColor="text1"/>
          <w14:textFill>
            <w14:solidFill>
              <w14:schemeClr w14:val="tx1"/>
            </w14:solidFill>
          </w14:textFill>
        </w:rPr>
        <w:fldChar w:fldCharType="separate"/>
      </w:r>
      <w:r>
        <w:rPr>
          <w:rFonts w:hint="eastAsia" w:ascii="宋体" w:hAnsi="宋体"/>
          <w:color w:val="000000" w:themeColor="text1"/>
          <w14:textFill>
            <w14:solidFill>
              <w14:schemeClr w14:val="tx1"/>
            </w14:solidFill>
          </w14:textFill>
        </w:rPr>
        <w:t>⑴</w:t>
      </w:r>
      <w:r>
        <w:rPr>
          <w:rFonts w:ascii="宋体" w:hAnsi="宋体"/>
          <w:color w:val="000000" w:themeColor="text1"/>
          <w14:textFill>
            <w14:solidFill>
              <w14:schemeClr w14:val="tx1"/>
            </w14:solidFill>
          </w14:textFill>
        </w:rPr>
        <w:fldChar w:fldCharType="end"/>
      </w:r>
      <w:r>
        <w:rPr>
          <w:rFonts w:hint="eastAsia" w:ascii="宋体" w:hAnsi="宋体"/>
          <w:color w:val="000000" w:themeColor="text1"/>
          <w14:textFill>
            <w14:solidFill>
              <w14:schemeClr w14:val="tx1"/>
            </w14:solidFill>
          </w14:textFill>
        </w:rPr>
        <w:t>报价书、报价一览表、系统配置清单及报价价格一览表。</w:t>
      </w:r>
    </w:p>
    <w:p>
      <w:pPr>
        <w:spacing w:line="360" w:lineRule="auto"/>
        <w:ind w:firstLine="420" w:firstLineChars="200"/>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 2 \* GB2 </w:instrText>
      </w:r>
      <w:r>
        <w:rPr>
          <w:rFonts w:ascii="宋体" w:hAnsi="宋体"/>
          <w:color w:val="000000" w:themeColor="text1"/>
          <w14:textFill>
            <w14:solidFill>
              <w14:schemeClr w14:val="tx1"/>
            </w14:solidFill>
          </w14:textFill>
        </w:rPr>
        <w:fldChar w:fldCharType="separate"/>
      </w:r>
      <w:r>
        <w:rPr>
          <w:rFonts w:hint="eastAsia" w:ascii="宋体" w:hAnsi="宋体"/>
          <w:color w:val="000000" w:themeColor="text1"/>
          <w14:textFill>
            <w14:solidFill>
              <w14:schemeClr w14:val="tx1"/>
            </w14:solidFill>
          </w14:textFill>
        </w:rPr>
        <w:t>⑵</w:t>
      </w:r>
      <w:r>
        <w:rPr>
          <w:rFonts w:ascii="宋体" w:hAnsi="宋体"/>
          <w:color w:val="000000" w:themeColor="text1"/>
          <w14:textFill>
            <w14:solidFill>
              <w14:schemeClr w14:val="tx1"/>
            </w14:solidFill>
          </w14:textFill>
        </w:rPr>
        <w:fldChar w:fldCharType="end"/>
      </w:r>
      <w:r>
        <w:rPr>
          <w:rFonts w:hint="eastAsia" w:ascii="宋体" w:hAnsi="宋体"/>
          <w:color w:val="000000" w:themeColor="text1"/>
          <w14:textFill>
            <w14:solidFill>
              <w14:schemeClr w14:val="tx1"/>
            </w14:solidFill>
          </w14:textFill>
        </w:rPr>
        <w:t>资格证明文件</w:t>
      </w:r>
    </w:p>
    <w:p>
      <w:pPr>
        <w:spacing w:line="360" w:lineRule="auto"/>
        <w:ind w:firstLine="420" w:firstLineChars="200"/>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 3 \* GB2 </w:instrText>
      </w:r>
      <w:r>
        <w:rPr>
          <w:rFonts w:ascii="宋体" w:hAnsi="宋体"/>
          <w:color w:val="000000" w:themeColor="text1"/>
          <w14:textFill>
            <w14:solidFill>
              <w14:schemeClr w14:val="tx1"/>
            </w14:solidFill>
          </w14:textFill>
        </w:rPr>
        <w:fldChar w:fldCharType="separate"/>
      </w:r>
      <w:r>
        <w:rPr>
          <w:rFonts w:hint="eastAsia" w:ascii="宋体" w:hAnsi="宋体"/>
          <w:color w:val="000000" w:themeColor="text1"/>
          <w14:textFill>
            <w14:solidFill>
              <w14:schemeClr w14:val="tx1"/>
            </w14:solidFill>
          </w14:textFill>
        </w:rPr>
        <w:t>⑶</w:t>
      </w:r>
      <w:r>
        <w:rPr>
          <w:rFonts w:ascii="宋体" w:hAnsi="宋体"/>
          <w:color w:val="000000" w:themeColor="text1"/>
          <w14:textFill>
            <w14:solidFill>
              <w14:schemeClr w14:val="tx1"/>
            </w14:solidFill>
          </w14:textFill>
        </w:rPr>
        <w:fldChar w:fldCharType="end"/>
      </w:r>
      <w:r>
        <w:rPr>
          <w:rFonts w:hint="eastAsia" w:ascii="宋体" w:hAnsi="宋体"/>
          <w:color w:val="000000" w:themeColor="text1"/>
          <w14:textFill>
            <w14:solidFill>
              <w14:schemeClr w14:val="tx1"/>
            </w14:solidFill>
          </w14:textFill>
        </w:rPr>
        <w:t>按投标人须知要求提供的全部文件</w:t>
      </w:r>
    </w:p>
    <w:p>
      <w:pPr>
        <w:spacing w:line="36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据此函，投标人同意遵守如下条款：</w:t>
      </w:r>
    </w:p>
    <w:p>
      <w:pPr>
        <w:spacing w:line="360" w:lineRule="auto"/>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、投标人将按采购文件规定履行合同责任和义务。</w:t>
      </w:r>
    </w:p>
    <w:p>
      <w:pPr>
        <w:spacing w:line="360" w:lineRule="auto"/>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、投标人已详细审查全部采购文件，包括修改文件（如有的话）以及全部参考资料和相关附件。我们完全理解并同意放弃对这方面有不明及误解的权利。</w:t>
      </w:r>
    </w:p>
    <w:p>
      <w:pPr>
        <w:spacing w:line="360" w:lineRule="auto"/>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、投标自开标之日起有效期为</w:t>
      </w:r>
      <w:r>
        <w:rPr>
          <w:rFonts w:ascii="宋体" w:hAnsi="宋体"/>
          <w:color w:val="000000" w:themeColor="text1"/>
          <w14:textFill>
            <w14:solidFill>
              <w14:schemeClr w14:val="tx1"/>
            </w14:solidFill>
          </w14:textFill>
        </w:rPr>
        <w:t>90</w:t>
      </w:r>
      <w:r>
        <w:rPr>
          <w:rFonts w:hint="eastAsia" w:ascii="宋体" w:hAnsi="宋体"/>
          <w:color w:val="000000" w:themeColor="text1"/>
          <w14:textFill>
            <w14:solidFill>
              <w14:schemeClr w14:val="tx1"/>
            </w14:solidFill>
          </w14:textFill>
        </w:rPr>
        <w:t>个日历日。</w:t>
      </w:r>
    </w:p>
    <w:p>
      <w:pPr>
        <w:spacing w:line="360" w:lineRule="auto"/>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、投标人同意提供按照招标人可能要求的与投标有关的一切数据或资料，完全理解招标人不一定要接受最低价的投标或收到的任何投标。</w:t>
      </w:r>
    </w:p>
    <w:p>
      <w:pPr>
        <w:spacing w:line="360" w:lineRule="auto"/>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、与采购有关的一切正式往来通讯，请寄：</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168275</wp:posOffset>
                </wp:positionV>
                <wp:extent cx="153352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58.75pt;margin-top:13.25pt;height:0pt;width:120.75pt;z-index:251659264;mso-width-relative:page;mso-height-relative:page;" filled="f" stroked="t" coordsize="21600,21600" o:gfxdata="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Tg8dtcAAAAJAQAA&#10;DwAAAAAAAAABACAAAAAiAAAAZHJzL2Rvd25yZXYueG1sUEsBAhQAFAAAAAgAh07iQBHOH+LhAQAA&#10;rAMAAA4AAAAAAAAAAQAgAAAAJgEAAGRycy9lMm9Eb2MueG1sUEsFBgAAAAAGAAYAWQEAAHkFAAAA&#10;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181610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0pt;margin-top:14.3pt;height:0pt;width:120.75pt;z-index:251660288;mso-width-relative:page;mso-height-relative:page;" filled="f" stroked="t" coordsize="21600,21600" o:gfxdata="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OpuDbVAAAACQEAAA8A&#10;AAAAAAAAAQAgAAAAIgAAAGRycy9kb3ducmV2LnhtbFBLAQIUABQAAAAIAIdO4kALoJnQ4QEAAK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color w:val="000000" w:themeColor="text1"/>
          <w14:textFill>
            <w14:solidFill>
              <w14:schemeClr w14:val="tx1"/>
            </w14:solidFill>
          </w14:textFill>
        </w:rPr>
        <w:t>地址：邮编：</w:t>
      </w:r>
    </w:p>
    <w:p>
      <w:pPr>
        <w:spacing w:line="360" w:lineRule="auto"/>
        <w:rPr>
          <w:rFonts w:ascii="宋体"/>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172085</wp:posOffset>
                </wp:positionV>
                <wp:extent cx="1533525"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0.25pt;margin-top:13.55pt;height:0pt;width:120.75pt;z-index:251661312;mso-width-relative:page;mso-height-relative:page;" filled="f" stroked="t" coordsize="21600,21600" o:gfxdata="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vLC01gAAAAkBAAAP&#10;AAAAAAAAAAEAIAAAACIAAABkcnMvZG93bnJldi54bWxQSwECFAAUAAAACACHTuJAeNu3BeEBAACq&#10;AwAADgAAAAAAAAABACAAAAAlAQAAZHJzL2Uyb0RvYy54bWxQSwUGAAAAAAYABgBZAQAAeAU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162560</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5pt;margin-top:12.8pt;height:0pt;width:120.75pt;z-index:251662336;mso-width-relative:page;mso-height-relative:page;" filled="f" stroked="t" coordsize="21600,21600" o:gfxdata="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NEWK1gAAAAkBAAAP&#10;AAAAAAAAAAEAIAAAACIAAABkcnMvZG93bnJldi54bWxQSwECFAAUAAAACACHTuJAP3UpXOEBAACq&#10;AwAADgAAAAAAAAABACAAAAAlAQAAZHJzL2Uyb0RvYy54bWxQSwUGAAAAAAYABgBZAQAAeAUAAAAA&#10;">
                <v:fill on="f" focussize="0,0"/>
                <v:stroke color="#000000" joinstyle="round"/>
                <v:imagedata o:title=""/>
                <o:lock v:ext="edit" aspectratio="f"/>
              </v:line>
            </w:pict>
          </mc:Fallback>
        </mc:AlternateContent>
      </w:r>
      <w:r>
        <w:rPr>
          <w:rFonts w:hint="eastAsia" w:ascii="宋体" w:hAnsi="宋体"/>
          <w:color w:val="000000" w:themeColor="text1"/>
          <w14:textFill>
            <w14:solidFill>
              <w14:schemeClr w14:val="tx1"/>
            </w14:solidFill>
          </w14:textFill>
        </w:rPr>
        <w:t>电话：传真：</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5kdodgAAAAJAQAADwAAAAAAAAABACAAAAAiAAAAZHJzL2Rvd25yZXYueG1sUEsBAhQAFAAA&#10;AAgAh07iQKosLYnvAQAAtwMAAA4AAAAAAAAAAQAgAAAAJwEAAGRycy9lMm9Eb2MueG1sUEsFBgAA&#10;AAAGAAYAWQEAAIgFAAAAAA==&#10;">
                <v:fill on="f" focussize="0,0"/>
                <v:stroke color="#000000" joinstyle="round"/>
                <v:imagedata o:title=""/>
                <o:lock v:ext="edit" aspectratio="f"/>
              </v:line>
            </w:pict>
          </mc:Fallback>
        </mc:AlternateContent>
      </w:r>
      <w:r>
        <w:rPr>
          <w:rFonts w:hint="eastAsia" w:ascii="宋体" w:hAnsi="宋体"/>
          <w:color w:val="000000" w:themeColor="text1"/>
          <w14:textFill>
            <w14:solidFill>
              <w14:schemeClr w14:val="tx1"/>
            </w14:solidFill>
          </w14:textFill>
        </w:rPr>
        <w:t>投标代表姓名，职务</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yhd31wAAAAkBAAAPAAAAAAAAAAEAIAAAACIAAABkcnMvZG93bnJldi54bWxQSwECFAAUAAAA&#10;CACHTuJAHlNwyO8BAAC3AwAADgAAAAAAAAABACAAAAAmAQAAZHJzL2Uyb0RvYy54bWxQSwUGAAAA&#10;AAYABgBZAQAAhwUAAAAA&#10;">
                <v:fill on="f" focussize="0,0"/>
                <v:stroke color="#000000" joinstyle="round"/>
                <v:imagedata o:title=""/>
                <o:lock v:ext="edit" aspectratio="f"/>
              </v:line>
            </w:pict>
          </mc:Fallback>
        </mc:AlternateContent>
      </w:r>
      <w:r>
        <w:rPr>
          <w:rFonts w:hint="eastAsia" w:ascii="宋体" w:hAnsi="宋体"/>
          <w:color w:val="000000" w:themeColor="text1"/>
          <w14:textFill>
            <w14:solidFill>
              <w14:schemeClr w14:val="tx1"/>
            </w14:solidFill>
          </w14:textFill>
        </w:rPr>
        <w:t>投标人全称（加盖公章）</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1914525</wp:posOffset>
                </wp:positionH>
                <wp:positionV relativeFrom="paragraph">
                  <wp:posOffset>187325</wp:posOffset>
                </wp:positionV>
                <wp:extent cx="73342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0.75pt;margin-top:14.75pt;height:0pt;width:57.75pt;z-index:251664384;mso-width-relative:page;mso-height-relative:page;" filled="f" stroked="t" coordsize="21600,21600" o:gfxdata="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bTVdYAAAAJAQAA&#10;DwAAAAAAAAABACAAAAAiAAAAZHJzL2Rvd25yZXYueG1sUEsBAhQAFAAAAAgAh07iQA6toGziAQAA&#10;qQMAAA4AAAAAAAAAAQAgAAAAJQEAAGRycy9lMm9Eb2MueG1sUEsFBgAAAAAGAAYAWQEAAHkFAAAA&#10;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173990</wp:posOffset>
                </wp:positionV>
                <wp:extent cx="73342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5pt;margin-top:13.7pt;height:0pt;width:57.75pt;z-index:251665408;mso-width-relative:page;mso-height-relative:page;" filled="f" stroked="t" coordsize="21600,21600" o:gfxdata="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2u0e1gAAAAkBAAAP&#10;AAAAAAAAAAEAIAAAACIAAABkcnMvZG93bnJldi54bWxQSwECFAAUAAAACACHTuJAoU50XeEBAACp&#10;AwAADgAAAAAAAAABACAAAAAlAQAAZHJzL2Uyb0RvYy54bWxQSwUGAAAAAAYABgBZAQAAeAU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3000375</wp:posOffset>
                </wp:positionH>
                <wp:positionV relativeFrom="paragraph">
                  <wp:posOffset>181610</wp:posOffset>
                </wp:positionV>
                <wp:extent cx="733425"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6.25pt;margin-top:14.3pt;height:0pt;width:57.75pt;z-index:251666432;mso-width-relative:page;mso-height-relative:page;" filled="f" stroked="t" coordsize="21600,21600" o:gfxdata="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zzfR1wAAAAkB&#10;AAAPAAAAAAAAAAEAIAAAACIAAABkcnMvZG93bnJldi54bWxQSwECFAAUAAAACACHTuJA5APOQOMB&#10;AACr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olor w:val="000000" w:themeColor="text1"/>
          <w14:textFill>
            <w14:solidFill>
              <w14:schemeClr w14:val="tx1"/>
            </w14:solidFill>
          </w14:textFill>
        </w:rPr>
        <w:t>日期年月日</w:t>
      </w:r>
    </w:p>
    <w:p>
      <w:pPr>
        <w:spacing w:line="360" w:lineRule="auto"/>
        <w:ind w:firstLine="2019" w:firstLineChars="673"/>
        <w:rPr>
          <w:rFonts w:ascii="宋体"/>
          <w:color w:val="000000" w:themeColor="text1"/>
          <w:sz w:val="30"/>
          <w14:textFill>
            <w14:solidFill>
              <w14:schemeClr w14:val="tx1"/>
            </w14:solidFill>
          </w14:textFill>
        </w:rPr>
      </w:pPr>
      <w:r>
        <w:rPr>
          <w:rFonts w:ascii="宋体"/>
          <w:color w:val="000000" w:themeColor="text1"/>
          <w:sz w:val="30"/>
          <w14:textFill>
            <w14:solidFill>
              <w14:schemeClr w14:val="tx1"/>
            </w14:solidFill>
          </w14:textFill>
        </w:rPr>
        <w:br w:type="page"/>
      </w:r>
      <w:r>
        <w:rPr>
          <w:rFonts w:hint="eastAsia" w:ascii="宋体"/>
          <w:color w:val="000000" w:themeColor="text1"/>
          <w:sz w:val="30"/>
          <w14:textFill>
            <w14:solidFill>
              <w14:schemeClr w14:val="tx1"/>
            </w14:solidFill>
          </w14:textFill>
        </w:rPr>
        <w:t xml:space="preserve">   </w:t>
      </w:r>
      <w:r>
        <w:rPr>
          <w:rFonts w:hint="eastAsia" w:ascii="宋体" w:hAnsi="宋体"/>
          <w:color w:val="000000" w:themeColor="text1"/>
          <w:sz w:val="30"/>
          <w14:textFill>
            <w14:solidFill>
              <w14:schemeClr w14:val="tx1"/>
            </w14:solidFill>
          </w14:textFill>
        </w:rPr>
        <w:t>格式</w:t>
      </w:r>
      <w:r>
        <w:rPr>
          <w:rFonts w:ascii="宋体" w:hAnsi="宋体"/>
          <w:color w:val="000000" w:themeColor="text1"/>
          <w:sz w:val="30"/>
          <w14:textFill>
            <w14:solidFill>
              <w14:schemeClr w14:val="tx1"/>
            </w14:solidFill>
          </w14:textFill>
        </w:rPr>
        <w:t xml:space="preserve">2    </w:t>
      </w:r>
      <w:r>
        <w:rPr>
          <w:rFonts w:hint="eastAsia" w:ascii="宋体" w:hAnsi="宋体"/>
          <w:color w:val="000000" w:themeColor="text1"/>
          <w:sz w:val="30"/>
          <w14:textFill>
            <w14:solidFill>
              <w14:schemeClr w14:val="tx1"/>
            </w14:solidFill>
          </w14:textFill>
        </w:rPr>
        <w:t>报价一览表</w:t>
      </w:r>
    </w:p>
    <w:p>
      <w:pPr>
        <w:spacing w:line="360" w:lineRule="auto"/>
        <w:rPr>
          <w:rFonts w:ascii="宋体"/>
          <w:color w:val="000000" w:themeColor="text1"/>
          <w:sz w:val="30"/>
          <w:u w:val="single"/>
          <w14:textFill>
            <w14:solidFill>
              <w14:schemeClr w14:val="tx1"/>
            </w14:solidFill>
          </w14:textFill>
        </w:rPr>
      </w:pPr>
      <w:r>
        <w:rPr>
          <w:rFonts w:hint="eastAsia" w:ascii="宋体" w:hAnsi="宋体"/>
          <w:color w:val="000000" w:themeColor="text1"/>
          <w:sz w:val="30"/>
          <w14:textFill>
            <w14:solidFill>
              <w14:schemeClr w14:val="tx1"/>
            </w14:solidFill>
          </w14:textFill>
        </w:rPr>
        <w:t>投标人全称（加盖公章）</w:t>
      </w:r>
    </w:p>
    <w:p>
      <w:pPr>
        <w:tabs>
          <w:tab w:val="left" w:pos="3570"/>
        </w:tabs>
        <w:spacing w:line="360" w:lineRule="auto"/>
        <w:ind w:right="-21" w:rightChars="-10"/>
        <w:rPr>
          <w:rFonts w:ascii="宋体"/>
          <w:color w:val="000000" w:themeColor="text1"/>
          <w:sz w:val="30"/>
          <w:u w:val="single"/>
          <w14:textFill>
            <w14:solidFill>
              <w14:schemeClr w14:val="tx1"/>
            </w14:solidFill>
          </w14:textFill>
        </w:rPr>
      </w:pPr>
      <w:r>
        <w:rPr>
          <w:rFonts w:hint="eastAsia" w:ascii="宋体" w:hAnsi="宋体"/>
          <w:color w:val="000000" w:themeColor="text1"/>
          <w:sz w:val="30"/>
          <w14:textFill>
            <w14:solidFill>
              <w14:schemeClr w14:val="tx1"/>
            </w14:solidFill>
          </w14:textFill>
        </w:rPr>
        <w:t>采购编号：</w:t>
      </w:r>
    </w:p>
    <w:tbl>
      <w:tblPr>
        <w:tblStyle w:val="18"/>
        <w:tblW w:w="7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12"/>
        <w:gridCol w:w="2266"/>
        <w:gridCol w:w="1027"/>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94"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合同包</w:t>
            </w:r>
          </w:p>
        </w:tc>
        <w:tc>
          <w:tcPr>
            <w:tcW w:w="1412"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货物名称</w:t>
            </w:r>
          </w:p>
        </w:tc>
        <w:tc>
          <w:tcPr>
            <w:tcW w:w="2266"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型号规格</w:t>
            </w:r>
          </w:p>
          <w:p>
            <w:pPr>
              <w:tabs>
                <w:tab w:val="left" w:pos="3570"/>
              </w:tabs>
              <w:spacing w:line="360" w:lineRule="auto"/>
              <w:ind w:right="-21" w:rightChars="-1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制造商</w:t>
            </w:r>
          </w:p>
        </w:tc>
        <w:tc>
          <w:tcPr>
            <w:tcW w:w="1027"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043"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单价</w:t>
            </w:r>
          </w:p>
        </w:tc>
        <w:tc>
          <w:tcPr>
            <w:tcW w:w="1043"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p>
        </w:tc>
        <w:tc>
          <w:tcPr>
            <w:tcW w:w="1412"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2266"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27"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rPr>
                <w:rFonts w:ascii="宋体"/>
                <w:color w:val="000000" w:themeColor="text1"/>
                <w14:textFill>
                  <w14:solidFill>
                    <w14:schemeClr w14:val="tx1"/>
                  </w14:solidFill>
                </w14:textFill>
              </w:rPr>
            </w:pPr>
          </w:p>
        </w:tc>
        <w:tc>
          <w:tcPr>
            <w:tcW w:w="1412"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2266"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27"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p>
        </w:tc>
        <w:tc>
          <w:tcPr>
            <w:tcW w:w="1412"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2266"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27"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p>
        </w:tc>
        <w:tc>
          <w:tcPr>
            <w:tcW w:w="1412"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2266"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27"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rPr>
                <w:rFonts w:ascii="宋体"/>
                <w:color w:val="000000" w:themeColor="text1"/>
                <w14:textFill>
                  <w14:solidFill>
                    <w14:schemeClr w14:val="tx1"/>
                  </w14:solidFill>
                </w14:textFill>
              </w:rPr>
            </w:pPr>
          </w:p>
        </w:tc>
        <w:tc>
          <w:tcPr>
            <w:tcW w:w="1412"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2266"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27"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p>
        </w:tc>
        <w:tc>
          <w:tcPr>
            <w:tcW w:w="1412"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2266"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27"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p>
        </w:tc>
        <w:tc>
          <w:tcPr>
            <w:tcW w:w="1412"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2266"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27"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color w:val="000000" w:themeColor="text1"/>
                <w14:textFill>
                  <w14:solidFill>
                    <w14:schemeClr w14:val="tx1"/>
                  </w14:solidFill>
                </w14:textFill>
              </w:rPr>
            </w:pPr>
          </w:p>
        </w:tc>
        <w:tc>
          <w:tcPr>
            <w:tcW w:w="1412"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2266"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27"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c>
          <w:tcPr>
            <w:tcW w:w="1043" w:type="dxa"/>
            <w:vAlign w:val="center"/>
          </w:tcPr>
          <w:p>
            <w:pPr>
              <w:tabs>
                <w:tab w:val="left" w:pos="3570"/>
              </w:tabs>
              <w:spacing w:line="360" w:lineRule="auto"/>
              <w:ind w:right="-21" w:rightChars="-10"/>
              <w:jc w:val="center"/>
              <w:rPr>
                <w:rFonts w:ascii="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85" w:type="dxa"/>
            <w:gridSpan w:val="6"/>
            <w:vAlign w:val="center"/>
          </w:tcPr>
          <w:p>
            <w:pPr>
              <w:tabs>
                <w:tab w:val="left" w:pos="3570"/>
              </w:tabs>
              <w:spacing w:line="360" w:lineRule="auto"/>
              <w:ind w:right="-21" w:rightChars="-10"/>
              <w:rPr>
                <w:rFonts w:asci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备注：以上报价包含增值税</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（专用/普通）发票，税率为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tc>
      </w:tr>
    </w:tbl>
    <w:p>
      <w:pPr>
        <w:spacing w:line="360" w:lineRule="auto"/>
        <w:rPr>
          <w:rFonts w:ascii="宋体" w:hAnsi="宋体"/>
          <w:color w:val="000000" w:themeColor="text1"/>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tabs>
          <w:tab w:val="left" w:pos="3570"/>
        </w:tabs>
        <w:spacing w:line="360" w:lineRule="auto"/>
        <w:ind w:right="-21" w:rightChars="-10"/>
        <w:jc w:val="center"/>
        <w:rPr>
          <w:rFonts w:ascii="宋体" w:hAnsi="宋体"/>
          <w:color w:val="000000" w:themeColor="text1"/>
          <w:sz w:val="30"/>
          <w14:textFill>
            <w14:solidFill>
              <w14:schemeClr w14:val="tx1"/>
            </w14:solidFill>
          </w14:textFill>
        </w:rPr>
      </w:pPr>
      <w:r>
        <w:rPr>
          <w:rFonts w:hint="eastAsia" w:ascii="宋体" w:hAnsi="宋体"/>
          <w:color w:val="000000" w:themeColor="text1"/>
          <w:sz w:val="30"/>
          <w14:textFill>
            <w14:solidFill>
              <w14:schemeClr w14:val="tx1"/>
            </w14:solidFill>
          </w14:textFill>
        </w:rPr>
        <w:t>格式3  报价货物简要说明一览表</w:t>
      </w:r>
    </w:p>
    <w:p>
      <w:pPr>
        <w:tabs>
          <w:tab w:val="left" w:pos="3570"/>
        </w:tabs>
        <w:spacing w:line="360" w:lineRule="auto"/>
        <w:ind w:right="-21" w:rightChars="-10"/>
        <w:rPr>
          <w:rFonts w:ascii="宋体" w:hAnsi="宋体"/>
          <w:color w:val="000000" w:themeColor="text1"/>
          <w14:textFill>
            <w14:solidFill>
              <w14:schemeClr w14:val="tx1"/>
            </w14:solidFill>
          </w14:textFill>
        </w:rPr>
      </w:pPr>
    </w:p>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p>
      <w:pPr>
        <w:tabs>
          <w:tab w:val="left" w:pos="3570"/>
        </w:tabs>
        <w:spacing w:line="360" w:lineRule="auto"/>
        <w:ind w:right="-21" w:rightChars="-1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报价人全称（加盖公章）：</w:t>
      </w:r>
      <w:r>
        <w:rPr>
          <w:rFonts w:hint="eastAsia" w:ascii="宋体" w:hAnsi="宋体"/>
          <w:color w:val="000000" w:themeColor="text1"/>
          <w:u w:val="single"/>
          <w14:textFill>
            <w14:solidFill>
              <w14:schemeClr w14:val="tx1"/>
            </w14:solidFill>
          </w14:textFill>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货物名称</w:t>
            </w: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型号规格及配置</w:t>
            </w: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性能说明</w:t>
            </w: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226"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2955"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99"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87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c>
          <w:tcPr>
            <w:tcW w:w="1362" w:type="dxa"/>
          </w:tcPr>
          <w:p>
            <w:pPr>
              <w:tabs>
                <w:tab w:val="left" w:pos="3570"/>
              </w:tabs>
              <w:spacing w:line="360" w:lineRule="auto"/>
              <w:ind w:right="-21" w:rightChars="-10"/>
              <w:jc w:val="center"/>
              <w:rPr>
                <w:rFonts w:ascii="宋体" w:hAnsi="宋体"/>
                <w:color w:val="000000" w:themeColor="text1"/>
                <w14:textFill>
                  <w14:solidFill>
                    <w14:schemeClr w14:val="tx1"/>
                  </w14:solidFill>
                </w14:textFill>
              </w:rPr>
            </w:pPr>
          </w:p>
        </w:tc>
      </w:tr>
    </w:tbl>
    <w:p>
      <w:pPr>
        <w:tabs>
          <w:tab w:val="left" w:pos="3570"/>
        </w:tabs>
        <w:spacing w:line="360" w:lineRule="auto"/>
        <w:ind w:right="-21" w:rightChars="-10"/>
        <w:rPr>
          <w:rFonts w:ascii="宋体" w:hAnsi="宋体"/>
          <w:color w:val="000000" w:themeColor="text1"/>
          <w14:textFill>
            <w14:solidFill>
              <w14:schemeClr w14:val="tx1"/>
            </w14:solidFill>
          </w14:textFill>
        </w:rPr>
      </w:pPr>
    </w:p>
    <w:p>
      <w:pPr>
        <w:tabs>
          <w:tab w:val="left" w:pos="3570"/>
        </w:tabs>
        <w:spacing w:line="360" w:lineRule="auto"/>
        <w:ind w:right="-21" w:rightChars="-1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报价代表签字：</w:t>
      </w:r>
      <w:r>
        <w:rPr>
          <w:rFonts w:hint="eastAsia" w:ascii="宋体" w:hAnsi="宋体"/>
          <w:color w:val="000000" w:themeColor="text1"/>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u w:val="single"/>
          <w14:textFill>
            <w14:solidFill>
              <w14:schemeClr w14:val="tx1"/>
            </w14:solidFill>
          </w14:textFill>
        </w:rPr>
      </w:pPr>
    </w:p>
    <w:p>
      <w:pPr>
        <w:tabs>
          <w:tab w:val="left" w:pos="3570"/>
        </w:tabs>
        <w:spacing w:line="360" w:lineRule="auto"/>
        <w:ind w:right="-21" w:rightChars="-1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日        期：</w:t>
      </w:r>
      <w:r>
        <w:rPr>
          <w:rFonts w:hint="eastAsia" w:ascii="宋体" w:hAnsi="宋体"/>
          <w:color w:val="000000" w:themeColor="text1"/>
          <w:u w:val="single"/>
          <w14:textFill>
            <w14:solidFill>
              <w14:schemeClr w14:val="tx1"/>
            </w14:solidFill>
          </w14:textFill>
        </w:rPr>
        <w:t xml:space="preserve">                            </w:t>
      </w:r>
    </w:p>
    <w:p>
      <w:pPr>
        <w:pStyle w:val="10"/>
        <w:spacing w:line="360" w:lineRule="auto"/>
        <w:ind w:firstLine="613"/>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r>
        <w:rPr>
          <w:rFonts w:hint="eastAsia" w:hAnsi="宋体"/>
          <w:color w:val="000000" w:themeColor="text1"/>
          <w:sz w:val="30"/>
          <w14:textFill>
            <w14:solidFill>
              <w14:schemeClr w14:val="tx1"/>
            </w14:solidFill>
          </w14:textFill>
        </w:rPr>
        <w:t>格式4    规格、技术参数偏离表</w:t>
      </w:r>
    </w:p>
    <w:p>
      <w:pPr>
        <w:pStyle w:val="10"/>
        <w:spacing w:line="360" w:lineRule="auto"/>
        <w:ind w:firstLine="417" w:firstLineChars="174"/>
        <w:rPr>
          <w:color w:val="000000" w:themeColor="text1"/>
          <w14:textFill>
            <w14:solidFill>
              <w14:schemeClr w14:val="tx1"/>
            </w14:solidFill>
          </w14:textFill>
        </w:rPr>
      </w:pPr>
      <w:r>
        <w:rPr>
          <w:rFonts w:hint="eastAsia"/>
          <w:color w:val="000000" w:themeColor="text1"/>
          <w14:textFill>
            <w14:solidFill>
              <w14:schemeClr w14:val="tx1"/>
            </w14:solidFill>
          </w14:textFill>
        </w:rPr>
        <w:t>报价人全称（加盖公章）</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pStyle w:val="10"/>
        <w:spacing w:line="360" w:lineRule="auto"/>
        <w:ind w:firstLine="417" w:firstLineChars="174"/>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合同包：           </w:t>
      </w:r>
    </w:p>
    <w:tbl>
      <w:tblPr>
        <w:tblStyle w:val="1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09"/>
        <w:gridCol w:w="1301"/>
        <w:gridCol w:w="1134"/>
        <w:gridCol w:w="1559"/>
        <w:gridCol w:w="156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67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采购要求</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报价响应情况</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报价响应对应的页码</w:t>
            </w:r>
          </w:p>
        </w:tc>
        <w:tc>
          <w:tcPr>
            <w:tcW w:w="8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themeColor="text1"/>
                <w:sz w:val="24"/>
                <w14:textFill>
                  <w14:solidFill>
                    <w14:schemeClr w14:val="tx1"/>
                  </w14:solidFill>
                </w14:textFill>
              </w:rPr>
            </w:pPr>
          </w:p>
        </w:tc>
      </w:tr>
    </w:tbl>
    <w:p>
      <w:pPr>
        <w:spacing w:line="380" w:lineRule="exact"/>
        <w:rPr>
          <w:rFonts w:ascii="宋体" w:hAnsi="宋体"/>
          <w:color w:val="000000" w:themeColor="text1"/>
          <w:sz w:val="24"/>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注：1、报价人提交的报价文件中应将报价货物或服务项目按采购要求的技术、商务、服务等要求逐条列明，说明报价响应情况。</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2、报价人应保证报价响应情况的正确性、真实性，报价人存在弄虚作假行  为的，将依法承担相应的法律责任。 </w:t>
      </w:r>
    </w:p>
    <w:p>
      <w:pPr>
        <w:pStyle w:val="10"/>
        <w:spacing w:line="360" w:lineRule="auto"/>
        <w:rPr>
          <w:rFonts w:hAnsi="宋体"/>
          <w:color w:val="000000" w:themeColor="text1"/>
          <w14:textFill>
            <w14:solidFill>
              <w14:schemeClr w14:val="tx1"/>
            </w14:solidFill>
          </w14:textFill>
        </w:rPr>
      </w:pPr>
    </w:p>
    <w:p>
      <w:pPr>
        <w:pStyle w:val="10"/>
        <w:spacing w:line="360" w:lineRule="auto"/>
        <w:rPr>
          <w:color w:val="000000" w:themeColor="text1"/>
          <w14:textFill>
            <w14:solidFill>
              <w14:schemeClr w14:val="tx1"/>
            </w14:solidFill>
          </w14:textFill>
        </w:rPr>
      </w:pPr>
    </w:p>
    <w:p>
      <w:pPr>
        <w:pStyle w:val="10"/>
        <w:spacing w:line="360" w:lineRule="auto"/>
        <w:ind w:firstLine="600"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报价代表签字：</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pStyle w:val="10"/>
        <w:spacing w:line="360" w:lineRule="auto"/>
        <w:ind w:firstLine="600" w:firstLineChars="25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日        期：</w:t>
      </w:r>
      <w:r>
        <w:rPr>
          <w:rFonts w:hint="eastAsia"/>
          <w:color w:val="000000" w:themeColor="text1"/>
          <w:u w:val="single"/>
          <w14:textFill>
            <w14:solidFill>
              <w14:schemeClr w14:val="tx1"/>
            </w14:solidFill>
          </w14:textFill>
        </w:rPr>
        <w:t xml:space="preserve">                           </w:t>
      </w:r>
    </w:p>
    <w:p>
      <w:pPr>
        <w:spacing w:line="360" w:lineRule="auto"/>
        <w:ind w:firstLine="570"/>
        <w:jc w:val="center"/>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格式5</w:t>
      </w:r>
      <w:r>
        <w:rPr>
          <w:bCs/>
          <w:color w:val="000000" w:themeColor="text1"/>
          <w:sz w:val="28"/>
          <w14:textFill>
            <w14:solidFill>
              <w14:schemeClr w14:val="tx1"/>
            </w14:solidFill>
          </w14:textFill>
        </w:rPr>
        <w:t xml:space="preserve">     </w:t>
      </w:r>
      <w:r>
        <w:rPr>
          <w:rFonts w:hint="eastAsia"/>
          <w:bCs/>
          <w:color w:val="000000" w:themeColor="text1"/>
          <w:sz w:val="28"/>
          <w14:textFill>
            <w14:solidFill>
              <w14:schemeClr w14:val="tx1"/>
            </w14:solidFill>
          </w14:textFill>
        </w:rPr>
        <w:t>报名函</w:t>
      </w:r>
    </w:p>
    <w:p>
      <w:pPr>
        <w:spacing w:line="360" w:lineRule="auto"/>
        <w:ind w:firstLine="570"/>
        <w:jc w:val="center"/>
        <w:rPr>
          <w:bCs/>
          <w:color w:val="000000" w:themeColor="text1"/>
          <w:sz w:val="28"/>
          <w14:textFill>
            <w14:solidFill>
              <w14:schemeClr w14:val="tx1"/>
            </w14:solidFill>
          </w14:textFill>
        </w:rPr>
      </w:pPr>
    </w:p>
    <w:p>
      <w:pPr>
        <w:spacing w:line="360" w:lineRule="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致嘉庚创新实验室资产采购管理室</w:t>
      </w:r>
    </w:p>
    <w:p>
      <w:pPr>
        <w:spacing w:line="360" w:lineRule="auto"/>
        <w:rPr>
          <w:color w:val="000000" w:themeColor="text1"/>
          <w:sz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pt;margin-top:0pt;height:0pt;width:180pt;z-index:251667456;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LssL0gAAAAQBAAAP&#10;AAAAAAAAAAEAIAAAACIAAABkcnMvZG93bnJldi54bWxQSwECFAAUAAAACACHTuJARh5qXuUBAACs&#10;AwAADgAAAAAAAAABACAAAAAhAQAAZHJzL2Uyb0RvYy54bWxQSwUGAAAAAAYABgBZAQAAeAUAAAAA&#10;">
                <v:fill on="f" focussize="0,0"/>
                <v:stroke color="#000000" joinstyle="round"/>
                <v:imagedata o:title=""/>
                <o:lock v:ext="edit" aspectratio="f"/>
              </v:line>
            </w:pict>
          </mc:Fallback>
        </mc:AlternateContent>
      </w:r>
    </w:p>
    <w:p>
      <w:pPr>
        <w:spacing w:line="360" w:lineRule="auto"/>
        <w:ind w:firstLine="537" w:firstLineChars="192"/>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根据贵方为</w:t>
      </w:r>
      <w:r>
        <w:rPr>
          <w:color w:val="000000" w:themeColor="text1"/>
          <w:sz w:val="28"/>
          <w14:textFill>
            <w14:solidFill>
              <w14:schemeClr w14:val="tx1"/>
            </w14:solidFill>
          </w14:textFill>
        </w:rPr>
        <w:t>_____________</w:t>
      </w:r>
      <w:r>
        <w:rPr>
          <w:rFonts w:hint="eastAsia"/>
          <w:color w:val="000000" w:themeColor="text1"/>
          <w:sz w:val="28"/>
          <w14:textFill>
            <w14:solidFill>
              <w14:schemeClr w14:val="tx1"/>
            </w14:solidFill>
          </w14:textFill>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color w:val="000000" w:themeColor="text1"/>
          <w:sz w:val="28"/>
          <w14:textFill>
            <w14:solidFill>
              <w14:schemeClr w14:val="tx1"/>
            </w14:solidFill>
          </w14:textFill>
        </w:rPr>
        <w:t>___________</w:t>
      </w:r>
      <w:r>
        <w:rPr>
          <w:rFonts w:hint="eastAsia"/>
          <w:color w:val="000000" w:themeColor="text1"/>
          <w:sz w:val="28"/>
          <w14:textFill>
            <w14:solidFill>
              <w14:schemeClr w14:val="tx1"/>
            </w14:solidFill>
          </w14:textFill>
        </w:rPr>
        <w:t>采购投标</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如有合同包，请写明要投标的合同包</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w:t>
      </w:r>
    </w:p>
    <w:p>
      <w:pPr>
        <w:spacing w:line="360" w:lineRule="auto"/>
        <w:rPr>
          <w:color w:val="000000" w:themeColor="text1"/>
          <w:sz w:val="28"/>
          <w14:textFill>
            <w14:solidFill>
              <w14:schemeClr w14:val="tx1"/>
            </w14:solidFill>
          </w14:textFill>
        </w:rPr>
      </w:pPr>
    </w:p>
    <w:p>
      <w:pPr>
        <w:spacing w:line="360" w:lineRule="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投标代表：</w:t>
      </w:r>
      <w:r>
        <w:rPr>
          <w:color w:val="000000" w:themeColor="text1"/>
          <w:sz w:val="28"/>
          <w14:textFill>
            <w14:solidFill>
              <w14:schemeClr w14:val="tx1"/>
            </w14:solidFill>
          </w14:textFill>
        </w:rPr>
        <w:t>_____________________</w:t>
      </w:r>
    </w:p>
    <w:p>
      <w:pPr>
        <w:spacing w:line="360" w:lineRule="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联系电话：</w:t>
      </w:r>
      <w:r>
        <w:rPr>
          <w:color w:val="000000" w:themeColor="text1"/>
          <w:sz w:val="28"/>
          <w14:textFill>
            <w14:solidFill>
              <w14:schemeClr w14:val="tx1"/>
            </w14:solidFill>
          </w14:textFill>
        </w:rPr>
        <w:t>_____________________</w:t>
      </w:r>
    </w:p>
    <w:p>
      <w:pPr>
        <w:spacing w:line="360" w:lineRule="auto"/>
        <w:rPr>
          <w:color w:val="000000" w:themeColor="text1"/>
          <w:sz w:val="28"/>
          <w14:textFill>
            <w14:solidFill>
              <w14:schemeClr w14:val="tx1"/>
            </w14:solidFill>
          </w14:textFill>
        </w:rPr>
      </w:pPr>
    </w:p>
    <w:p>
      <w:pPr>
        <w:spacing w:line="360" w:lineRule="auto"/>
        <w:rPr>
          <w:color w:val="000000" w:themeColor="text1"/>
          <w:sz w:val="28"/>
          <w14:textFill>
            <w14:solidFill>
              <w14:schemeClr w14:val="tx1"/>
            </w14:solidFill>
          </w14:textFill>
        </w:rPr>
      </w:pPr>
    </w:p>
    <w:p>
      <w:pPr>
        <w:spacing w:line="360" w:lineRule="auto"/>
        <w:ind w:firstLine="57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投标人全称（加盖公章）：</w:t>
      </w:r>
    </w:p>
    <w:p>
      <w:pPr>
        <w:spacing w:line="360" w:lineRule="auto"/>
        <w:ind w:firstLine="57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年　　月　　　日</w:t>
      </w: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格式6    制造商出具的授权及承诺书（参考格式）</w:t>
      </w:r>
    </w:p>
    <w:p>
      <w:pPr>
        <w:pStyle w:val="10"/>
        <w:spacing w:line="360" w:lineRule="auto"/>
        <w:rPr>
          <w:color w:val="000000" w:themeColor="text1"/>
          <w:u w:val="single"/>
          <w14:textFill>
            <w14:solidFill>
              <w14:schemeClr w14:val="tx1"/>
            </w14:solidFill>
          </w14:textFill>
        </w:rPr>
      </w:pPr>
    </w:p>
    <w:p>
      <w:pPr>
        <w:pStyle w:val="9"/>
        <w:snapToGrid w:val="0"/>
        <w:spacing w:line="400" w:lineRule="exact"/>
        <w:ind w:firstLine="480" w:firstLineChars="200"/>
        <w:jc w:val="left"/>
        <w:rPr>
          <w:rFonts w:hAnsi="宋体"/>
          <w:color w:val="000000" w:themeColor="text1"/>
          <w:sz w:val="24"/>
          <w:u w:val="single"/>
          <w14:textFill>
            <w14:solidFill>
              <w14:schemeClr w14:val="tx1"/>
            </w14:solidFill>
          </w14:textFill>
        </w:rPr>
      </w:pPr>
      <w:r>
        <w:rPr>
          <w:rFonts w:hint="eastAsia" w:hAnsi="宋体"/>
          <w:color w:val="000000" w:themeColor="text1"/>
          <w:sz w:val="24"/>
          <w:u w:val="single"/>
          <w14:textFill>
            <w14:solidFill>
              <w14:schemeClr w14:val="tx1"/>
            </w14:solidFill>
          </w14:textFill>
        </w:rPr>
        <w:t>嘉庚创新实验室资产采购管理室:</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我方</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（制造商名称）是按</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w:t>
      </w:r>
    </w:p>
    <w:p>
      <w:pPr>
        <w:pStyle w:val="9"/>
        <w:snapToGrid w:val="0"/>
        <w:spacing w:line="400" w:lineRule="exact"/>
        <w:ind w:firstLine="480" w:firstLineChars="200"/>
        <w:jc w:val="left"/>
        <w:rPr>
          <w:rFonts w:hAnsi="宋体"/>
          <w:color w:val="000000" w:themeColor="text1"/>
          <w:sz w:val="24"/>
          <w:u w:val="single"/>
          <w14:textFill>
            <w14:solidFill>
              <w14:schemeClr w14:val="tx1"/>
            </w14:solidFill>
          </w14:textFill>
        </w:rPr>
      </w:pPr>
      <w:r>
        <w:rPr>
          <w:rFonts w:hint="eastAsia" w:hAnsi="宋体"/>
          <w:color w:val="000000" w:themeColor="text1"/>
          <w:sz w:val="24"/>
          <w14:textFill>
            <w14:solidFill>
              <w14:schemeClr w14:val="tx1"/>
            </w14:solidFill>
          </w14:textFill>
        </w:rPr>
        <w:t>（国家名称）法律成立的一家制造公司，主要营业地点设在</w:t>
      </w:r>
      <w:r>
        <w:rPr>
          <w:rFonts w:hint="eastAsia" w:hAnsi="宋体"/>
          <w:color w:val="000000" w:themeColor="text1"/>
          <w:sz w:val="24"/>
          <w:u w:val="single"/>
          <w14:textFill>
            <w14:solidFill>
              <w14:schemeClr w14:val="tx1"/>
            </w14:solidFill>
          </w14:textFill>
        </w:rPr>
        <w:t xml:space="preserve">                       </w:t>
      </w:r>
    </w:p>
    <w:p>
      <w:pPr>
        <w:pStyle w:val="9"/>
        <w:snapToGrid w:val="0"/>
        <w:spacing w:line="400" w:lineRule="exact"/>
        <w:ind w:firstLine="480" w:firstLineChars="200"/>
        <w:jc w:val="left"/>
        <w:rPr>
          <w:rFonts w:hAnsi="宋体"/>
          <w:color w:val="000000" w:themeColor="text1"/>
          <w:sz w:val="24"/>
          <w:u w:val="single"/>
          <w14:textFill>
            <w14:solidFill>
              <w14:schemeClr w14:val="tx1"/>
            </w14:solidFill>
          </w14:textFill>
        </w:rPr>
      </w:pP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（制造商地址）。我司确认按</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（国家名称）的法律正式成立的、主要营业地点设在 </w:t>
      </w:r>
      <w:r>
        <w:rPr>
          <w:rFonts w:hint="eastAsia" w:hAnsi="宋体"/>
          <w:color w:val="000000" w:themeColor="text1"/>
          <w:sz w:val="24"/>
          <w:u w:val="single"/>
          <w14:textFill>
            <w14:solidFill>
              <w14:schemeClr w14:val="tx1"/>
            </w14:solidFill>
          </w14:textFill>
        </w:rPr>
        <w:t xml:space="preserve">                                                        </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（投标人地址）的 </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（投标人名称）有权销售我司制造 </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（货物名称），并确认其作为独立的投标人在贵方关于</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（招标项目名称）的</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招标编号）招标中参与投标。</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作为制造商，我方确认知悉招标文件所列全部内容、认可投标人参与投标的各项文件，确认由我方制造并提供的 </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（货物名称）满足招标文件所列技术要求；我方并确认一旦中标，对于投标人在与贵方签署的“供货和技术服务协议”项下所应承担的全部合同义务，不可撤销地向贵司承担连带保证责任。</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我方于 </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年</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月</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日签署本文件，</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（贸易公司名称）于</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年</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月 </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日接受此件，以此为证。</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投标人名称：                               </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出具授权书的制造商名称（加盖公章）：                         </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正式授权代表签字  姓名、职务和部门：                        </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（注：请附制造商公司主体证明材料，对于在中华人民共和国境外的制造商，需依照中国法律提交相关公证/认证文件。）</w:t>
      </w:r>
    </w:p>
    <w:p>
      <w:pPr>
        <w:spacing w:line="360" w:lineRule="auto"/>
        <w:rPr>
          <w:rFonts w:ascii="宋体" w:hAnsi="宋体"/>
          <w:color w:val="000000" w:themeColor="text1"/>
          <w:sz w:val="24"/>
          <w14:textFill>
            <w14:solidFill>
              <w14:schemeClr w14:val="tx1"/>
            </w14:solidFill>
          </w14:textFill>
        </w:rPr>
      </w:pPr>
    </w:p>
    <w:p>
      <w:pPr>
        <w:spacing w:line="360" w:lineRule="auto"/>
        <w:ind w:firstLine="4080" w:firstLineChars="1700"/>
        <w:rPr>
          <w:rFonts w:ascii="宋体" w:hAnsi="宋体"/>
          <w:color w:val="000000" w:themeColor="text1"/>
          <w:sz w:val="24"/>
          <w14:textFill>
            <w14:solidFill>
              <w14:schemeClr w14:val="tx1"/>
            </w14:solidFill>
          </w14:textFill>
        </w:rPr>
      </w:pPr>
    </w:p>
    <w:p>
      <w:pPr>
        <w:spacing w:line="360" w:lineRule="auto"/>
        <w:ind w:firstLine="4080" w:firstLineChars="1700"/>
        <w:rPr>
          <w:rFonts w:ascii="宋体" w:hAnsi="宋体"/>
          <w:color w:val="000000" w:themeColor="text1"/>
          <w:sz w:val="24"/>
          <w14:textFill>
            <w14:solidFill>
              <w14:schemeClr w14:val="tx1"/>
            </w14:solidFill>
          </w14:textFill>
        </w:rPr>
      </w:pPr>
    </w:p>
    <w:p>
      <w:pPr>
        <w:spacing w:line="360" w:lineRule="auto"/>
        <w:ind w:firstLine="4320" w:firstLineChars="18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接受授权方</w:t>
      </w:r>
    </w:p>
    <w:p>
      <w:pPr>
        <w:spacing w:line="360" w:lineRule="auto"/>
        <w:ind w:firstLine="4320" w:firstLineChars="18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投标人代表签字：</w:t>
      </w:r>
    </w:p>
    <w:p>
      <w:pPr>
        <w:ind w:firstLine="4320" w:firstLineChars="18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p>
    <w:p>
      <w:pPr>
        <w:spacing w:line="360" w:lineRule="auto"/>
        <w:ind w:firstLine="570"/>
        <w:jc w:val="center"/>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格式7   法定代表人授权书（原件）</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__________________：</w:t>
      </w:r>
    </w:p>
    <w:p>
      <w:pPr>
        <w:spacing w:line="400" w:lineRule="exact"/>
        <w:rPr>
          <w:color w:val="000000" w:themeColor="text1"/>
          <w:sz w:val="24"/>
          <w14:textFill>
            <w14:solidFill>
              <w14:schemeClr w14:val="tx1"/>
            </w14:solidFill>
          </w14:textFill>
        </w:rPr>
      </w:pP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u w:val="single"/>
          <w14:textFill>
            <w14:solidFill>
              <w14:schemeClr w14:val="tx1"/>
            </w14:solidFill>
          </w14:textFill>
        </w:rPr>
        <w:t>（报价人全称）</w:t>
      </w:r>
      <w:r>
        <w:rPr>
          <w:rFonts w:hint="eastAsia" w:hAnsi="宋体"/>
          <w:color w:val="000000" w:themeColor="text1"/>
          <w:sz w:val="24"/>
          <w14:textFill>
            <w14:solidFill>
              <w14:schemeClr w14:val="tx1"/>
            </w14:solidFill>
          </w14:textFill>
        </w:rPr>
        <w:t>法定代表人</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授权</w:t>
      </w:r>
      <w:r>
        <w:rPr>
          <w:rFonts w:hint="eastAsia" w:hAnsi="宋体"/>
          <w:color w:val="000000" w:themeColor="text1"/>
          <w:sz w:val="24"/>
          <w:u w:val="single"/>
          <w14:textFill>
            <w14:solidFill>
              <w14:schemeClr w14:val="tx1"/>
            </w14:solidFill>
          </w14:textFill>
        </w:rPr>
        <w:t xml:space="preserve">  （报价人代表姓名）</w:t>
      </w:r>
      <w:r>
        <w:rPr>
          <w:rFonts w:hint="eastAsia" w:hAnsi="宋体"/>
          <w:color w:val="000000" w:themeColor="text1"/>
          <w:sz w:val="24"/>
          <w14:textFill>
            <w14:solidFill>
              <w14:schemeClr w14:val="tx1"/>
            </w14:solidFill>
          </w14:textFill>
        </w:rPr>
        <w:t>为报价人代表，代表本公司参加贵司组织的</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项目（招标编号</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招标活动，全权代表本公司处理报价过程的一切事宜，包括但不限于：报价、参与开标、谈判、签约等。报价人代表在报价过程中所签署的一切文件和处理与之有关的一切事务，本公司均予以认可并对此承担责任。报价人代表无转委权。特此授权。</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本授权书自出具之日起生效。</w:t>
      </w:r>
    </w:p>
    <w:p>
      <w:pPr>
        <w:pStyle w:val="9"/>
        <w:snapToGrid w:val="0"/>
        <w:spacing w:line="400" w:lineRule="exact"/>
        <w:ind w:firstLine="480" w:firstLineChars="200"/>
        <w:jc w:val="left"/>
        <w:rPr>
          <w:rFonts w:hAnsi="宋体"/>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性别：</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身份证号：</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部门：</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职务：</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邮政编码</w:t>
      </w:r>
      <w:r>
        <w:rPr>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电话：</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报价人（全称并加盖公章）：</w:t>
      </w:r>
      <w:r>
        <w:rPr>
          <w:rFonts w:hint="eastAsia"/>
          <w:color w:val="000000" w:themeColor="text1"/>
          <w:sz w:val="24"/>
          <w:u w:val="single"/>
          <w14:textFill>
            <w14:solidFill>
              <w14:schemeClr w14:val="tx1"/>
            </w14:solidFill>
          </w14:textFill>
        </w:rPr>
        <w:t xml:space="preserve">                    </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法定代表人签字盖章：</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日     期：</w:t>
      </w:r>
      <w:r>
        <w:rPr>
          <w:rFonts w:hint="eastAsia"/>
          <w:color w:val="000000" w:themeColor="text1"/>
          <w:sz w:val="24"/>
          <w:u w:val="single"/>
          <w14:textFill>
            <w14:solidFill>
              <w14:schemeClr w14:val="tx1"/>
            </w14:solidFill>
          </w14:textFill>
        </w:rPr>
        <w:t xml:space="preserve">                       </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报价人代表签字：</w:t>
      </w:r>
      <w:r>
        <w:rPr>
          <w:rFonts w:hint="eastAsia"/>
          <w:color w:val="000000" w:themeColor="text1"/>
          <w:sz w:val="24"/>
          <w:u w:val="single"/>
          <w14:textFill>
            <w14:solidFill>
              <w14:schemeClr w14:val="tx1"/>
            </w14:solidFill>
          </w14:textFill>
        </w:rPr>
        <w:t xml:space="preserve">                </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 xml:space="preserve">                                 日     期：</w:t>
      </w:r>
      <w:r>
        <w:rPr>
          <w:rFonts w:hint="eastAsia"/>
          <w:color w:val="000000" w:themeColor="text1"/>
          <w:sz w:val="24"/>
          <w:u w:val="single"/>
          <w14:textFill>
            <w14:solidFill>
              <w14:schemeClr w14:val="tx1"/>
            </w14:solidFill>
          </w14:textFill>
        </w:rPr>
        <w:t xml:space="preserve">              </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附：被授权人身份证件</w:t>
      </w:r>
    </w:p>
    <w:p>
      <w:pPr>
        <w:pStyle w:val="33"/>
        <w:rPr>
          <w:rFonts w:hAnsi="宋体"/>
          <w:color w:val="000000" w:themeColor="text1"/>
          <w:sz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0" allowOverlap="1">
                <wp:simplePos x="0" y="0"/>
                <wp:positionH relativeFrom="column">
                  <wp:posOffset>1786890</wp:posOffset>
                </wp:positionH>
                <wp:positionV relativeFrom="paragraph">
                  <wp:posOffset>257175</wp:posOffset>
                </wp:positionV>
                <wp:extent cx="1819910" cy="648335"/>
                <wp:effectExtent l="4445" t="4445" r="23495" b="13970"/>
                <wp:wrapNone/>
                <wp:docPr id="13" name="Text Box 26"/>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 xml:space="preserve">    加盖投标人公章</w:t>
                            </w:r>
                          </w:p>
                        </w:txbxContent>
                      </wps:txbx>
                      <wps:bodyPr upright="1"/>
                    </wps:wsp>
                  </a:graphicData>
                </a:graphic>
              </wp:anchor>
            </w:drawing>
          </mc:Choice>
          <mc:Fallback>
            <w:pict>
              <v:shape id="Text Box 26" o:spid="_x0000_s1026" o:spt="202" type="#_x0000_t202" style="position:absolute;left:0pt;margin-left:140.7pt;margin-top:20.25pt;height:51.05pt;width:143.3pt;z-index:251668480;mso-width-relative:page;mso-height-relative:page;" fillcolor="#FFFFFF" filled="t" stroked="t" coordsize="21600,21600" o:allowincell="f" o:gfxdata="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84jZLZAAAACgEAAA8AAAAAAAAAAQAgAAAAIgAAAGRycy9kb3ducmV2&#10;LnhtbFBLAQIUABQAAAAIAIdO4kAV5pa1+wEAADcEAAAOAAAAAAAAAAEAIAAAACgBAABkcnMvZTJv&#10;RG9jLnhtbFBLBQYAAAAABgAGAFkBAACVBQAAAAA=&#10;">
                <v:fill on="t" focussize="0,0"/>
                <v:stroke color="#000000" joinstyle="miter"/>
                <v:imagedata o:title=""/>
                <o:lock v:ext="edit" aspectratio="f"/>
                <v:textbox>
                  <w:txbxContent>
                    <w:p>
                      <w:pPr>
                        <w:snapToGrid w:val="0"/>
                        <w:spacing w:line="440" w:lineRule="exact"/>
                      </w:pPr>
                      <w:r>
                        <w:rPr>
                          <w:rFonts w:hint="eastAsia"/>
                        </w:rPr>
                        <w:t xml:space="preserve">    加盖投标人公章</w:t>
                      </w:r>
                    </w:p>
                  </w:txbxContent>
                </v:textbox>
              </v:shape>
            </w:pict>
          </mc:Fallback>
        </mc:AlternateContent>
      </w:r>
    </w:p>
    <w:tbl>
      <w:tblPr>
        <w:tblStyle w:val="18"/>
        <w:tblpPr w:leftFromText="180" w:rightFromText="180" w:vertAnchor="page" w:horzAnchor="margin" w:tblpY="115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3"/>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w:t>
            </w:r>
            <w:r>
              <w:rPr>
                <w:rFonts w:hint="eastAsia"/>
                <w:color w:val="000000" w:themeColor="text1"/>
                <w:sz w:val="24"/>
                <w14:textFill>
                  <w14:solidFill>
                    <w14:schemeClr w14:val="tx1"/>
                  </w14:solidFill>
                </w14:textFill>
              </w:rPr>
              <w:t>报价代表身份证正面复印件）</w:t>
            </w:r>
          </w:p>
        </w:tc>
        <w:tc>
          <w:tcPr>
            <w:tcW w:w="4522" w:type="dxa"/>
            <w:vAlign w:val="center"/>
          </w:tcPr>
          <w:p>
            <w:pPr>
              <w:pStyle w:val="33"/>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w:t>
            </w:r>
            <w:r>
              <w:rPr>
                <w:rFonts w:hint="eastAsia"/>
                <w:color w:val="000000" w:themeColor="text1"/>
                <w:sz w:val="24"/>
                <w14:textFill>
                  <w14:solidFill>
                    <w14:schemeClr w14:val="tx1"/>
                  </w14:solidFill>
                </w14:textFill>
              </w:rPr>
              <w:t>报价代表身份证反面复印件）</w:t>
            </w:r>
          </w:p>
        </w:tc>
      </w:tr>
    </w:tbl>
    <w:p>
      <w:pPr>
        <w:pStyle w:val="1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spacing w:line="360" w:lineRule="auto"/>
        <w:rPr>
          <w:rFonts w:ascii="宋体"/>
          <w:color w:val="000000" w:themeColor="text1"/>
          <w:sz w:val="24"/>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格式8     售后服务服务方案承诺</w:t>
      </w:r>
    </w:p>
    <w:p>
      <w:pPr>
        <w:spacing w:line="360" w:lineRule="auto"/>
        <w:ind w:firstLine="570"/>
        <w:rPr>
          <w:rFonts w:cs="宋体"/>
          <w:color w:val="000000" w:themeColor="text1"/>
          <w:sz w:val="28"/>
          <w:szCs w:val="28"/>
          <w14:textFill>
            <w14:solidFill>
              <w14:schemeClr w14:val="tx1"/>
            </w14:solidFill>
          </w14:textFill>
        </w:rPr>
      </w:pPr>
    </w:p>
    <w:p>
      <w:pPr>
        <w:spacing w:line="360" w:lineRule="auto"/>
        <w:ind w:firstLine="570"/>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致：嘉庚创新实验室资产采购管理室</w:t>
      </w:r>
    </w:p>
    <w:p>
      <w:pPr>
        <w:spacing w:line="360" w:lineRule="auto"/>
        <w:ind w:firstLine="570"/>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根据贵方为</w:t>
      </w:r>
      <w:r>
        <w:rPr>
          <w:rFonts w:hint="eastAsia" w:cs="宋体"/>
          <w:color w:val="000000" w:themeColor="text1"/>
          <w:sz w:val="28"/>
          <w:szCs w:val="28"/>
          <w:u w:val="single"/>
          <w14:textFill>
            <w14:solidFill>
              <w14:schemeClr w14:val="tx1"/>
            </w14:solidFill>
          </w14:textFill>
        </w:rPr>
        <w:t>　　　　　　　　　　</w:t>
      </w:r>
      <w:r>
        <w:rPr>
          <w:rFonts w:hint="eastAsia" w:cs="宋体"/>
          <w:color w:val="000000" w:themeColor="text1"/>
          <w:sz w:val="28"/>
          <w:szCs w:val="28"/>
          <w14:textFill>
            <w14:solidFill>
              <w14:schemeClr w14:val="tx1"/>
            </w14:solidFill>
          </w14:textFill>
        </w:rPr>
        <w:t>采购项目的报价邀请，我司对该项目做出如下售后服务承诺：</w:t>
      </w:r>
    </w:p>
    <w:p>
      <w:pPr>
        <w:spacing w:line="360" w:lineRule="auto"/>
        <w:ind w:firstLine="570"/>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（内容根据采购文件要求自拟）</w:t>
      </w: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spacing w:line="360" w:lineRule="auto"/>
        <w:ind w:firstLine="3558" w:firstLineChars="1271"/>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报价人全称（加盖公章）：</w:t>
      </w:r>
    </w:p>
    <w:p>
      <w:pPr>
        <w:spacing w:line="360" w:lineRule="auto"/>
        <w:rPr>
          <w:color w:val="000000" w:themeColor="text1"/>
          <w:sz w:val="30"/>
          <w:szCs w:val="30"/>
          <w14:textFill>
            <w14:solidFill>
              <w14:schemeClr w14:val="tx1"/>
            </w14:solidFill>
          </w14:textFill>
        </w:rPr>
      </w:pPr>
      <w:r>
        <w:rPr>
          <w:rFonts w:hint="eastAsia" w:cs="宋体"/>
          <w:color w:val="000000" w:themeColor="text1"/>
          <w:sz w:val="28"/>
          <w:szCs w:val="28"/>
          <w14:textFill>
            <w14:solidFill>
              <w14:schemeClr w14:val="tx1"/>
            </w14:solidFill>
          </w14:textFill>
        </w:rPr>
        <w:t>　　　　　　　　　　　　　　　　年　　月　　日</w:t>
      </w:r>
    </w:p>
    <w:p>
      <w:pPr>
        <w:jc w:val="center"/>
        <w:rPr>
          <w:b/>
          <w:color w:val="000000" w:themeColor="text1"/>
          <w:sz w:val="28"/>
          <w:szCs w:val="28"/>
          <w14:textFill>
            <w14:solidFill>
              <w14:schemeClr w14:val="tx1"/>
            </w14:solidFill>
          </w14:textFill>
        </w:rPr>
      </w:pPr>
    </w:p>
    <w:p>
      <w:pPr>
        <w:spacing w:line="360" w:lineRule="auto"/>
        <w:rPr>
          <w:bCs/>
          <w:color w:val="000000" w:themeColor="text1"/>
          <w:sz w:val="28"/>
          <w14:textFill>
            <w14:solidFill>
              <w14:schemeClr w14:val="tx1"/>
            </w14:solidFill>
          </w14:textFill>
        </w:rPr>
      </w:pPr>
    </w:p>
    <w:p>
      <w:pPr>
        <w:spacing w:line="360" w:lineRule="auto"/>
        <w:ind w:firstLine="570"/>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格式9  参加采购活动前三年内在经营活动中没有重大违法记录书面声明</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参</w:t>
      </w:r>
      <w:r>
        <w:rPr>
          <w:rFonts w:hint="eastAsia" w:ascii="宋体" w:hAnsi="宋体"/>
          <w:color w:val="000000" w:themeColor="text1"/>
          <w:sz w:val="24"/>
          <w14:textFill>
            <w14:solidFill>
              <w14:schemeClr w14:val="tx1"/>
            </w14:solidFill>
          </w14:textFill>
        </w:rPr>
        <w:t>加</w:t>
      </w:r>
      <w:r>
        <w:rPr>
          <w:rFonts w:ascii="宋体" w:hAnsi="宋体"/>
          <w:color w:val="000000" w:themeColor="text1"/>
          <w:sz w:val="24"/>
          <w14:textFill>
            <w14:solidFill>
              <w14:schemeClr w14:val="tx1"/>
            </w14:solidFill>
          </w14:textFill>
        </w:rPr>
        <w:t>采购活动前三年内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我方在经营活动中没有重大违法记录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1、“重大违法记录”指投标人因违法经营受到刑事处罚或责令停产停业、吊销许可证或执照、较大数额罚款等行政处罚。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2、请投标人根据实际情况进行声明，若声明不真实，视为提供虚假材料。</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ind w:firstLine="4800" w:firstLineChars="20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（全称并加盖单位公章）</w:t>
      </w:r>
    </w:p>
    <w:p>
      <w:pPr>
        <w:spacing w:line="360" w:lineRule="auto"/>
        <w:ind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投标人代表签字：</w:t>
      </w:r>
    </w:p>
    <w:p>
      <w:pPr>
        <w:spacing w:line="360" w:lineRule="auto"/>
        <w:ind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日期：年月日</w:t>
      </w:r>
    </w:p>
    <w:p>
      <w:pPr>
        <w:spacing w:line="360" w:lineRule="auto"/>
        <w:ind w:firstLine="5244" w:firstLineChars="2185"/>
        <w:rPr>
          <w:rFonts w:ascii="宋体" w:hAnsi="宋体"/>
          <w:color w:val="000000" w:themeColor="text1"/>
          <w:sz w:val="24"/>
          <w14:textFill>
            <w14:solidFill>
              <w14:schemeClr w14:val="tx1"/>
            </w14:solidFill>
          </w14:textFill>
        </w:rPr>
      </w:pPr>
    </w:p>
    <w:p>
      <w:pPr>
        <w:widowControl/>
        <w:jc w:val="left"/>
        <w:rPr>
          <w:rFonts w:ascii="宋体" w:hAns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p>
    <w:p>
      <w:pPr>
        <w:spacing w:line="360" w:lineRule="auto"/>
        <w:jc w:val="left"/>
        <w:rPr>
          <w:rFonts w:ascii="宋体" w:hAnsi="宋体"/>
          <w:color w:val="000000" w:themeColor="text1"/>
          <w:sz w:val="24"/>
          <w14:textFill>
            <w14:solidFill>
              <w14:schemeClr w14:val="tx1"/>
            </w14:solidFill>
          </w14:textFill>
        </w:rPr>
      </w:pPr>
    </w:p>
    <w:p>
      <w:pPr>
        <w:spacing w:line="360" w:lineRule="auto"/>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投标人廉洁诚信自律承诺书</w:t>
      </w:r>
    </w:p>
    <w:p>
      <w:pPr>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嘉庚创新实验室资产采购管理室：</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配合加强嘉庚创新实验室招投标采购活动中的廉政建设，共同防止发生违法违纪行为，体现嘉庚创新实验室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不向采购人、评委和采购工作相关人员请客、送礼、行贿和送回扣，不以各种名目私下给以上人员或单位赠送有价证券和进行各种赞助，如自愿表示对实验室给予其他形式优惠，将在投标书、承诺书或合同书中标明。</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2.不与其他投标人串标、围标、抬标，控制投标价格等违法行为。</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3.不排挤其他投标人或以不正当竞争为目的而以低于成本报价投标。</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4.不伪造、借用、盗用、转让、或将资质(格)借与他人参与投标。</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6.不给责任人的违法违纪违规行为说情、解脱或托人说情等变相干扰公正处理。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7.自觉遵守嘉庚创新实验室开标、评标现场工作纪律和采购的有关规定，不私下接触评审专家，不干扰正常的开标评标秩序。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未履行上述承诺，自愿取消投标和中标资格、至少一年内不能参加嘉庚创新实验室任何投标；造成损失的，实验室保留通过法律进行追究的权利。凡属违法违纪的，按照国家和实验室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Calibri" w:hAnsi="Calibri"/>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自愿接受参与本项目招投标各方的互相监督，对发现的问题及时报告。</w:t>
      </w: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投标人盖章：</w:t>
      </w: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法定代表人签名：</w:t>
      </w: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投标代表（项目经理）签名：</w:t>
      </w:r>
    </w:p>
    <w:p>
      <w:pPr>
        <w:spacing w:line="360" w:lineRule="auto"/>
        <w:ind w:firstLine="3360" w:firstLineChars="14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20     </w:t>
      </w:r>
      <w:r>
        <w:rPr>
          <w:rFonts w:hint="eastAsia"/>
          <w:color w:val="000000" w:themeColor="text1"/>
          <w:sz w:val="24"/>
          <w14:textFill>
            <w14:solidFill>
              <w14:schemeClr w14:val="tx1"/>
            </w14:solidFill>
          </w14:textFill>
        </w:rPr>
        <w:t>年    月       日</w:t>
      </w:r>
      <w:r>
        <w:rPr>
          <w:color w:val="000000" w:themeColor="text1"/>
          <w:sz w:val="24"/>
          <w14:textFill>
            <w14:solidFill>
              <w14:schemeClr w14:val="tx1"/>
            </w14:solidFill>
          </w14:textFill>
        </w:rPr>
        <w:t> </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w Cen MT">
    <w:altName w:val="Segoe Print"/>
    <w:panose1 w:val="020B0602020104020603"/>
    <w:charset w:val="00"/>
    <w:family w:val="swiss"/>
    <w:pitch w:val="default"/>
    <w:sig w:usb0="00000000" w:usb1="00000000" w:usb2="00000000" w:usb3="00000000" w:csb0="00000003" w:csb1="00000000"/>
  </w:font>
  <w:font w:name="Segoe Print">
    <w:panose1 w:val="02000600000000000000"/>
    <w:charset w:val="00"/>
    <w:family w:val="auto"/>
    <w:pitch w:val="default"/>
    <w:sig w:usb0="0000028F" w:usb1="00000000" w:usb2="00000000" w:usb3="00000000" w:csb0="2000009F" w:csb1="47010000"/>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05F26"/>
    <w:multiLevelType w:val="singleLevel"/>
    <w:tmpl w:val="DAF05F26"/>
    <w:lvl w:ilvl="0" w:tentative="0">
      <w:start w:val="2"/>
      <w:numFmt w:val="chineseCounting"/>
      <w:suff w:val="nothing"/>
      <w:lvlText w:val="（%1）"/>
      <w:lvlJc w:val="left"/>
      <w:rPr>
        <w:rFonts w:hint="eastAsia"/>
      </w:rPr>
    </w:lvl>
  </w:abstractNum>
  <w:abstractNum w:abstractNumId="1">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3">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FE4031"/>
    <w:multiLevelType w:val="multilevel"/>
    <w:tmpl w:val="00FE4031"/>
    <w:lvl w:ilvl="0" w:tentative="0">
      <w:start w:val="1"/>
      <w:numFmt w:val="decimal"/>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055532B6"/>
    <w:multiLevelType w:val="multilevel"/>
    <w:tmpl w:val="055532B6"/>
    <w:lvl w:ilvl="0" w:tentative="0">
      <w:start w:val="1"/>
      <w:numFmt w:val="decimal"/>
      <w:lvlText w:val="%1"/>
      <w:lvlJc w:val="left"/>
      <w:pPr>
        <w:ind w:left="850"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C466BDC"/>
    <w:multiLevelType w:val="multilevel"/>
    <w:tmpl w:val="1C466BD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2509749A"/>
    <w:multiLevelType w:val="multilevel"/>
    <w:tmpl w:val="2509749A"/>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4280102"/>
    <w:multiLevelType w:val="multilevel"/>
    <w:tmpl w:val="44280102"/>
    <w:lvl w:ilvl="0" w:tentative="0">
      <w:start w:val="1"/>
      <w:numFmt w:val="decimal"/>
      <w:lvlText w:val="（%1)"/>
      <w:lvlJc w:val="left"/>
      <w:pPr>
        <w:ind w:left="840" w:hanging="420"/>
      </w:pPr>
      <w:rPr>
        <w:rFonts w:hint="eastAsia"/>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89C4FFC"/>
    <w:multiLevelType w:val="multilevel"/>
    <w:tmpl w:val="489C4FF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2BB7123"/>
    <w:multiLevelType w:val="multilevel"/>
    <w:tmpl w:val="62BB712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6"/>
  </w:num>
  <w:num w:numId="3">
    <w:abstractNumId w:val="5"/>
  </w:num>
  <w:num w:numId="4">
    <w:abstractNumId w:val="7"/>
  </w:num>
  <w:num w:numId="5">
    <w:abstractNumId w:val="8"/>
  </w:num>
  <w:num w:numId="6">
    <w:abstractNumId w:val="11"/>
  </w:num>
  <w:num w:numId="7">
    <w:abstractNumId w:val="10"/>
  </w:num>
  <w:num w:numId="8">
    <w:abstractNumId w:val="0"/>
  </w:num>
  <w:num w:numId="9">
    <w:abstractNumId w:val="4"/>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EA"/>
    <w:rsid w:val="00003469"/>
    <w:rsid w:val="000112F6"/>
    <w:rsid w:val="00030101"/>
    <w:rsid w:val="0003454E"/>
    <w:rsid w:val="000432C3"/>
    <w:rsid w:val="0004650B"/>
    <w:rsid w:val="000506E4"/>
    <w:rsid w:val="00052BE1"/>
    <w:rsid w:val="0005470B"/>
    <w:rsid w:val="000548AC"/>
    <w:rsid w:val="000575C7"/>
    <w:rsid w:val="000576E4"/>
    <w:rsid w:val="00066492"/>
    <w:rsid w:val="000766F7"/>
    <w:rsid w:val="00081648"/>
    <w:rsid w:val="0008524E"/>
    <w:rsid w:val="000873DD"/>
    <w:rsid w:val="00091F0D"/>
    <w:rsid w:val="000A2CD5"/>
    <w:rsid w:val="000B1CE1"/>
    <w:rsid w:val="000C2486"/>
    <w:rsid w:val="000C281F"/>
    <w:rsid w:val="000D18A3"/>
    <w:rsid w:val="000D3B84"/>
    <w:rsid w:val="000D4877"/>
    <w:rsid w:val="000F2C6F"/>
    <w:rsid w:val="000F677C"/>
    <w:rsid w:val="00102896"/>
    <w:rsid w:val="00121DFE"/>
    <w:rsid w:val="00122C60"/>
    <w:rsid w:val="00123BB3"/>
    <w:rsid w:val="001320B8"/>
    <w:rsid w:val="001367AF"/>
    <w:rsid w:val="00143149"/>
    <w:rsid w:val="00150608"/>
    <w:rsid w:val="0015593F"/>
    <w:rsid w:val="00161018"/>
    <w:rsid w:val="00161E26"/>
    <w:rsid w:val="00162777"/>
    <w:rsid w:val="001671CF"/>
    <w:rsid w:val="001779F2"/>
    <w:rsid w:val="00177D6B"/>
    <w:rsid w:val="00181AFF"/>
    <w:rsid w:val="001972D4"/>
    <w:rsid w:val="00197926"/>
    <w:rsid w:val="001A0735"/>
    <w:rsid w:val="001B17EC"/>
    <w:rsid w:val="001C1C22"/>
    <w:rsid w:val="001D018E"/>
    <w:rsid w:val="001D12D7"/>
    <w:rsid w:val="001D18B2"/>
    <w:rsid w:val="001D1C61"/>
    <w:rsid w:val="001D7775"/>
    <w:rsid w:val="001E1A25"/>
    <w:rsid w:val="001E6053"/>
    <w:rsid w:val="001E7678"/>
    <w:rsid w:val="001F2628"/>
    <w:rsid w:val="001F4FD2"/>
    <w:rsid w:val="002018FC"/>
    <w:rsid w:val="00201D35"/>
    <w:rsid w:val="002158D5"/>
    <w:rsid w:val="002179D2"/>
    <w:rsid w:val="002228AC"/>
    <w:rsid w:val="00225EF0"/>
    <w:rsid w:val="00232BDA"/>
    <w:rsid w:val="00232FD3"/>
    <w:rsid w:val="002401F8"/>
    <w:rsid w:val="002419EA"/>
    <w:rsid w:val="00251392"/>
    <w:rsid w:val="00252A2E"/>
    <w:rsid w:val="00255C85"/>
    <w:rsid w:val="002631CF"/>
    <w:rsid w:val="00264967"/>
    <w:rsid w:val="00266A32"/>
    <w:rsid w:val="0028442B"/>
    <w:rsid w:val="00286F32"/>
    <w:rsid w:val="002914F6"/>
    <w:rsid w:val="002928A6"/>
    <w:rsid w:val="00297B85"/>
    <w:rsid w:val="002A11E8"/>
    <w:rsid w:val="002A4572"/>
    <w:rsid w:val="002A69FF"/>
    <w:rsid w:val="002A6D5D"/>
    <w:rsid w:val="002B1F2A"/>
    <w:rsid w:val="002B61B3"/>
    <w:rsid w:val="002B6478"/>
    <w:rsid w:val="002D246B"/>
    <w:rsid w:val="002D4F31"/>
    <w:rsid w:val="002F143B"/>
    <w:rsid w:val="002F3610"/>
    <w:rsid w:val="002F41CC"/>
    <w:rsid w:val="003009C8"/>
    <w:rsid w:val="003052AB"/>
    <w:rsid w:val="003128C9"/>
    <w:rsid w:val="003311ED"/>
    <w:rsid w:val="00347738"/>
    <w:rsid w:val="00353426"/>
    <w:rsid w:val="00353FA9"/>
    <w:rsid w:val="003567F8"/>
    <w:rsid w:val="00365562"/>
    <w:rsid w:val="00374F90"/>
    <w:rsid w:val="003751B3"/>
    <w:rsid w:val="00387C86"/>
    <w:rsid w:val="00391059"/>
    <w:rsid w:val="00391B7F"/>
    <w:rsid w:val="003A1F89"/>
    <w:rsid w:val="003A34FF"/>
    <w:rsid w:val="003A4BD3"/>
    <w:rsid w:val="003B7BED"/>
    <w:rsid w:val="003D437E"/>
    <w:rsid w:val="003D5522"/>
    <w:rsid w:val="003D6D68"/>
    <w:rsid w:val="003D76E6"/>
    <w:rsid w:val="003F0F1C"/>
    <w:rsid w:val="003F1A67"/>
    <w:rsid w:val="003F1CB1"/>
    <w:rsid w:val="003F239B"/>
    <w:rsid w:val="00413CF5"/>
    <w:rsid w:val="00414B3F"/>
    <w:rsid w:val="00422098"/>
    <w:rsid w:val="0042238E"/>
    <w:rsid w:val="0042246F"/>
    <w:rsid w:val="0042250F"/>
    <w:rsid w:val="004364DE"/>
    <w:rsid w:val="00437C2C"/>
    <w:rsid w:val="004414C1"/>
    <w:rsid w:val="00450B1E"/>
    <w:rsid w:val="00460356"/>
    <w:rsid w:val="004720A0"/>
    <w:rsid w:val="00477B45"/>
    <w:rsid w:val="004802C2"/>
    <w:rsid w:val="00484A82"/>
    <w:rsid w:val="00485111"/>
    <w:rsid w:val="004917F9"/>
    <w:rsid w:val="0049368D"/>
    <w:rsid w:val="004A19B5"/>
    <w:rsid w:val="004A6975"/>
    <w:rsid w:val="004B1246"/>
    <w:rsid w:val="004D013C"/>
    <w:rsid w:val="004D6C85"/>
    <w:rsid w:val="004F4FD9"/>
    <w:rsid w:val="00515D90"/>
    <w:rsid w:val="00541651"/>
    <w:rsid w:val="0054473A"/>
    <w:rsid w:val="00544DA2"/>
    <w:rsid w:val="005778AF"/>
    <w:rsid w:val="00581B96"/>
    <w:rsid w:val="005829B5"/>
    <w:rsid w:val="0058305B"/>
    <w:rsid w:val="0059004C"/>
    <w:rsid w:val="00592151"/>
    <w:rsid w:val="005A2B9C"/>
    <w:rsid w:val="005A33DD"/>
    <w:rsid w:val="005A4CEB"/>
    <w:rsid w:val="005A5545"/>
    <w:rsid w:val="005C1340"/>
    <w:rsid w:val="005D029F"/>
    <w:rsid w:val="005E2C5D"/>
    <w:rsid w:val="005E33B3"/>
    <w:rsid w:val="005E4F83"/>
    <w:rsid w:val="005E68AD"/>
    <w:rsid w:val="005E7253"/>
    <w:rsid w:val="005F4678"/>
    <w:rsid w:val="005F4BFA"/>
    <w:rsid w:val="005F5B7A"/>
    <w:rsid w:val="00602EA1"/>
    <w:rsid w:val="00603E1D"/>
    <w:rsid w:val="0061242B"/>
    <w:rsid w:val="00614257"/>
    <w:rsid w:val="00635F05"/>
    <w:rsid w:val="006527DC"/>
    <w:rsid w:val="0065433C"/>
    <w:rsid w:val="00661645"/>
    <w:rsid w:val="006617D0"/>
    <w:rsid w:val="0068349E"/>
    <w:rsid w:val="0068664D"/>
    <w:rsid w:val="006918E0"/>
    <w:rsid w:val="006935A2"/>
    <w:rsid w:val="006969E9"/>
    <w:rsid w:val="006A2741"/>
    <w:rsid w:val="006B610C"/>
    <w:rsid w:val="006B61C7"/>
    <w:rsid w:val="006B68AA"/>
    <w:rsid w:val="006C4B09"/>
    <w:rsid w:val="006D664A"/>
    <w:rsid w:val="006D7BDC"/>
    <w:rsid w:val="006E10B2"/>
    <w:rsid w:val="006E1595"/>
    <w:rsid w:val="006F02A3"/>
    <w:rsid w:val="006F7041"/>
    <w:rsid w:val="006F7EBA"/>
    <w:rsid w:val="007002A4"/>
    <w:rsid w:val="00705611"/>
    <w:rsid w:val="00706BB1"/>
    <w:rsid w:val="00707538"/>
    <w:rsid w:val="0071064B"/>
    <w:rsid w:val="00712136"/>
    <w:rsid w:val="007238D0"/>
    <w:rsid w:val="0072657F"/>
    <w:rsid w:val="007409E8"/>
    <w:rsid w:val="007428CC"/>
    <w:rsid w:val="00746B67"/>
    <w:rsid w:val="0075371A"/>
    <w:rsid w:val="007633B5"/>
    <w:rsid w:val="00764EC4"/>
    <w:rsid w:val="007662C3"/>
    <w:rsid w:val="0077233C"/>
    <w:rsid w:val="0077615E"/>
    <w:rsid w:val="007812DB"/>
    <w:rsid w:val="007900C6"/>
    <w:rsid w:val="00794DA7"/>
    <w:rsid w:val="007955C8"/>
    <w:rsid w:val="007A0C83"/>
    <w:rsid w:val="007B54C2"/>
    <w:rsid w:val="007B6365"/>
    <w:rsid w:val="007C29A2"/>
    <w:rsid w:val="007C75A8"/>
    <w:rsid w:val="007D6A13"/>
    <w:rsid w:val="007E262A"/>
    <w:rsid w:val="007E2672"/>
    <w:rsid w:val="007E3391"/>
    <w:rsid w:val="007E4E41"/>
    <w:rsid w:val="007F28A8"/>
    <w:rsid w:val="007F5A4A"/>
    <w:rsid w:val="00805CDE"/>
    <w:rsid w:val="0082525F"/>
    <w:rsid w:val="00840C70"/>
    <w:rsid w:val="00847238"/>
    <w:rsid w:val="00860577"/>
    <w:rsid w:val="00864B89"/>
    <w:rsid w:val="008667EA"/>
    <w:rsid w:val="008771E4"/>
    <w:rsid w:val="00884EC8"/>
    <w:rsid w:val="008860AF"/>
    <w:rsid w:val="00886F5B"/>
    <w:rsid w:val="0089053E"/>
    <w:rsid w:val="00893D9C"/>
    <w:rsid w:val="008944BF"/>
    <w:rsid w:val="008A2CB2"/>
    <w:rsid w:val="008A4491"/>
    <w:rsid w:val="008A74D9"/>
    <w:rsid w:val="008B1B1E"/>
    <w:rsid w:val="008B56C4"/>
    <w:rsid w:val="008C044E"/>
    <w:rsid w:val="008C5DF2"/>
    <w:rsid w:val="008D3199"/>
    <w:rsid w:val="008D373A"/>
    <w:rsid w:val="008D68C0"/>
    <w:rsid w:val="008E4C5B"/>
    <w:rsid w:val="008E77F7"/>
    <w:rsid w:val="008F5CE1"/>
    <w:rsid w:val="008F6206"/>
    <w:rsid w:val="008F624F"/>
    <w:rsid w:val="00900BEF"/>
    <w:rsid w:val="00915F8B"/>
    <w:rsid w:val="009176C2"/>
    <w:rsid w:val="00917768"/>
    <w:rsid w:val="00942D9C"/>
    <w:rsid w:val="00943ADF"/>
    <w:rsid w:val="0094446D"/>
    <w:rsid w:val="009451EE"/>
    <w:rsid w:val="009515E9"/>
    <w:rsid w:val="00956940"/>
    <w:rsid w:val="009571B1"/>
    <w:rsid w:val="0096043D"/>
    <w:rsid w:val="00961C1D"/>
    <w:rsid w:val="00963A02"/>
    <w:rsid w:val="009806A9"/>
    <w:rsid w:val="00980881"/>
    <w:rsid w:val="00980AC0"/>
    <w:rsid w:val="00984774"/>
    <w:rsid w:val="009852B5"/>
    <w:rsid w:val="00993490"/>
    <w:rsid w:val="0099502C"/>
    <w:rsid w:val="009977F4"/>
    <w:rsid w:val="00997D33"/>
    <w:rsid w:val="009A337A"/>
    <w:rsid w:val="009A5F3A"/>
    <w:rsid w:val="009B1BC5"/>
    <w:rsid w:val="009B282B"/>
    <w:rsid w:val="009C45D3"/>
    <w:rsid w:val="009C6361"/>
    <w:rsid w:val="009D216F"/>
    <w:rsid w:val="009D22D4"/>
    <w:rsid w:val="009D2C51"/>
    <w:rsid w:val="009D584F"/>
    <w:rsid w:val="009E0595"/>
    <w:rsid w:val="009E0D2E"/>
    <w:rsid w:val="009E0FF3"/>
    <w:rsid w:val="009E22C1"/>
    <w:rsid w:val="009E4D8C"/>
    <w:rsid w:val="009E54A2"/>
    <w:rsid w:val="009E7C24"/>
    <w:rsid w:val="00A02AED"/>
    <w:rsid w:val="00A05AFB"/>
    <w:rsid w:val="00A07C4E"/>
    <w:rsid w:val="00A10009"/>
    <w:rsid w:val="00A15627"/>
    <w:rsid w:val="00A200CF"/>
    <w:rsid w:val="00A32381"/>
    <w:rsid w:val="00A41638"/>
    <w:rsid w:val="00A41BD2"/>
    <w:rsid w:val="00A60BE3"/>
    <w:rsid w:val="00A623CD"/>
    <w:rsid w:val="00A729D2"/>
    <w:rsid w:val="00A739A9"/>
    <w:rsid w:val="00A770D0"/>
    <w:rsid w:val="00A77F25"/>
    <w:rsid w:val="00A9359D"/>
    <w:rsid w:val="00AA2973"/>
    <w:rsid w:val="00AA2EF7"/>
    <w:rsid w:val="00AA4740"/>
    <w:rsid w:val="00AB03FB"/>
    <w:rsid w:val="00AB3DCF"/>
    <w:rsid w:val="00AB654B"/>
    <w:rsid w:val="00AB7C0E"/>
    <w:rsid w:val="00AC2017"/>
    <w:rsid w:val="00AC2FD7"/>
    <w:rsid w:val="00AC300D"/>
    <w:rsid w:val="00AC3520"/>
    <w:rsid w:val="00AC6685"/>
    <w:rsid w:val="00AD1CB6"/>
    <w:rsid w:val="00AD30A6"/>
    <w:rsid w:val="00AD47B3"/>
    <w:rsid w:val="00AE1F23"/>
    <w:rsid w:val="00AE73E0"/>
    <w:rsid w:val="00B07E6A"/>
    <w:rsid w:val="00B120F7"/>
    <w:rsid w:val="00B12E8B"/>
    <w:rsid w:val="00B25646"/>
    <w:rsid w:val="00B32162"/>
    <w:rsid w:val="00B33864"/>
    <w:rsid w:val="00B34C8C"/>
    <w:rsid w:val="00B427EB"/>
    <w:rsid w:val="00B46381"/>
    <w:rsid w:val="00B47658"/>
    <w:rsid w:val="00B50727"/>
    <w:rsid w:val="00B50A52"/>
    <w:rsid w:val="00B548F4"/>
    <w:rsid w:val="00B62981"/>
    <w:rsid w:val="00B94534"/>
    <w:rsid w:val="00B94837"/>
    <w:rsid w:val="00B97DFF"/>
    <w:rsid w:val="00BB0111"/>
    <w:rsid w:val="00BB06EE"/>
    <w:rsid w:val="00BB4200"/>
    <w:rsid w:val="00BB6694"/>
    <w:rsid w:val="00BC5825"/>
    <w:rsid w:val="00BC6988"/>
    <w:rsid w:val="00BC706A"/>
    <w:rsid w:val="00BD3CA3"/>
    <w:rsid w:val="00BE4430"/>
    <w:rsid w:val="00BE7785"/>
    <w:rsid w:val="00BF1503"/>
    <w:rsid w:val="00C16B67"/>
    <w:rsid w:val="00C300FF"/>
    <w:rsid w:val="00C35517"/>
    <w:rsid w:val="00C376A1"/>
    <w:rsid w:val="00C55CD7"/>
    <w:rsid w:val="00C637E0"/>
    <w:rsid w:val="00C65804"/>
    <w:rsid w:val="00C7074E"/>
    <w:rsid w:val="00C819B8"/>
    <w:rsid w:val="00C8218F"/>
    <w:rsid w:val="00C83877"/>
    <w:rsid w:val="00C87235"/>
    <w:rsid w:val="00C93315"/>
    <w:rsid w:val="00CA050E"/>
    <w:rsid w:val="00CA3A02"/>
    <w:rsid w:val="00CA7F6F"/>
    <w:rsid w:val="00CB350A"/>
    <w:rsid w:val="00CC27E1"/>
    <w:rsid w:val="00CD7D56"/>
    <w:rsid w:val="00CE080E"/>
    <w:rsid w:val="00CF15E0"/>
    <w:rsid w:val="00CF38B0"/>
    <w:rsid w:val="00D02BCA"/>
    <w:rsid w:val="00D052ED"/>
    <w:rsid w:val="00D05C55"/>
    <w:rsid w:val="00D070CB"/>
    <w:rsid w:val="00D12839"/>
    <w:rsid w:val="00D139B1"/>
    <w:rsid w:val="00D32F0A"/>
    <w:rsid w:val="00D669B2"/>
    <w:rsid w:val="00D67481"/>
    <w:rsid w:val="00D676D4"/>
    <w:rsid w:val="00D67AF8"/>
    <w:rsid w:val="00D73872"/>
    <w:rsid w:val="00D75D5A"/>
    <w:rsid w:val="00D83F8B"/>
    <w:rsid w:val="00D83FE4"/>
    <w:rsid w:val="00D9027F"/>
    <w:rsid w:val="00D90E6A"/>
    <w:rsid w:val="00D911C1"/>
    <w:rsid w:val="00D9161F"/>
    <w:rsid w:val="00D91EEA"/>
    <w:rsid w:val="00D96BE9"/>
    <w:rsid w:val="00DA0BDC"/>
    <w:rsid w:val="00DA25C5"/>
    <w:rsid w:val="00DA3570"/>
    <w:rsid w:val="00DB06B5"/>
    <w:rsid w:val="00DB45E0"/>
    <w:rsid w:val="00DC427D"/>
    <w:rsid w:val="00DC6ECB"/>
    <w:rsid w:val="00DD3AC3"/>
    <w:rsid w:val="00DD3E18"/>
    <w:rsid w:val="00DE0736"/>
    <w:rsid w:val="00E025C3"/>
    <w:rsid w:val="00E07E5D"/>
    <w:rsid w:val="00E11EB5"/>
    <w:rsid w:val="00E14E30"/>
    <w:rsid w:val="00E22D12"/>
    <w:rsid w:val="00E25B7E"/>
    <w:rsid w:val="00E353E3"/>
    <w:rsid w:val="00E45E09"/>
    <w:rsid w:val="00E50756"/>
    <w:rsid w:val="00E5280E"/>
    <w:rsid w:val="00E5370E"/>
    <w:rsid w:val="00E6297B"/>
    <w:rsid w:val="00E6430B"/>
    <w:rsid w:val="00E66488"/>
    <w:rsid w:val="00E67C7F"/>
    <w:rsid w:val="00E72047"/>
    <w:rsid w:val="00E72215"/>
    <w:rsid w:val="00E76177"/>
    <w:rsid w:val="00E82414"/>
    <w:rsid w:val="00EA1B6F"/>
    <w:rsid w:val="00EB0A36"/>
    <w:rsid w:val="00EB1520"/>
    <w:rsid w:val="00EB32A0"/>
    <w:rsid w:val="00EB5332"/>
    <w:rsid w:val="00EB6469"/>
    <w:rsid w:val="00EB7265"/>
    <w:rsid w:val="00EC05E8"/>
    <w:rsid w:val="00EC2878"/>
    <w:rsid w:val="00ED47A6"/>
    <w:rsid w:val="00ED6970"/>
    <w:rsid w:val="00ED6AB3"/>
    <w:rsid w:val="00ED71B9"/>
    <w:rsid w:val="00EE024C"/>
    <w:rsid w:val="00EE2745"/>
    <w:rsid w:val="00EE3EAF"/>
    <w:rsid w:val="00EF25E4"/>
    <w:rsid w:val="00EF591D"/>
    <w:rsid w:val="00F00B40"/>
    <w:rsid w:val="00F056C3"/>
    <w:rsid w:val="00F0798A"/>
    <w:rsid w:val="00F10069"/>
    <w:rsid w:val="00F108CD"/>
    <w:rsid w:val="00F10F9B"/>
    <w:rsid w:val="00F133A3"/>
    <w:rsid w:val="00F14487"/>
    <w:rsid w:val="00F240B0"/>
    <w:rsid w:val="00F25E8A"/>
    <w:rsid w:val="00F4097A"/>
    <w:rsid w:val="00F43911"/>
    <w:rsid w:val="00F57391"/>
    <w:rsid w:val="00F64496"/>
    <w:rsid w:val="00F64731"/>
    <w:rsid w:val="00F70DF7"/>
    <w:rsid w:val="00F71246"/>
    <w:rsid w:val="00F71BB4"/>
    <w:rsid w:val="00F721BD"/>
    <w:rsid w:val="00F75858"/>
    <w:rsid w:val="00F80759"/>
    <w:rsid w:val="00F81326"/>
    <w:rsid w:val="00F82AE9"/>
    <w:rsid w:val="00F82F0F"/>
    <w:rsid w:val="00F83029"/>
    <w:rsid w:val="00F8314B"/>
    <w:rsid w:val="00F8491C"/>
    <w:rsid w:val="00FA016D"/>
    <w:rsid w:val="00FA243A"/>
    <w:rsid w:val="00FB3252"/>
    <w:rsid w:val="00FB3543"/>
    <w:rsid w:val="00FC27C1"/>
    <w:rsid w:val="00FC52B6"/>
    <w:rsid w:val="00FD2493"/>
    <w:rsid w:val="00FD2ECA"/>
    <w:rsid w:val="00FE2D21"/>
    <w:rsid w:val="00FF1213"/>
    <w:rsid w:val="00FF7DCE"/>
    <w:rsid w:val="014B5EED"/>
    <w:rsid w:val="08447022"/>
    <w:rsid w:val="08860159"/>
    <w:rsid w:val="09503A55"/>
    <w:rsid w:val="0DDC11DF"/>
    <w:rsid w:val="0FEF5478"/>
    <w:rsid w:val="11A3248D"/>
    <w:rsid w:val="175C657B"/>
    <w:rsid w:val="19CF0C5E"/>
    <w:rsid w:val="22C97BAA"/>
    <w:rsid w:val="2F6E1AC6"/>
    <w:rsid w:val="2FCA3D35"/>
    <w:rsid w:val="31347D36"/>
    <w:rsid w:val="37C86B55"/>
    <w:rsid w:val="41A7113D"/>
    <w:rsid w:val="48510646"/>
    <w:rsid w:val="4A6174CB"/>
    <w:rsid w:val="508B6B33"/>
    <w:rsid w:val="5E916F5F"/>
    <w:rsid w:val="677017B9"/>
    <w:rsid w:val="770070C1"/>
    <w:rsid w:val="7AD57B0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34"/>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semiHidden/>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7"/>
    <w:semiHidden/>
    <w:unhideWhenUsed/>
    <w:qFormat/>
    <w:uiPriority w:val="99"/>
    <w:pPr>
      <w:jc w:val="left"/>
    </w:pPr>
  </w:style>
  <w:style w:type="paragraph" w:styleId="7">
    <w:name w:val="Body Text"/>
    <w:basedOn w:val="1"/>
    <w:link w:val="50"/>
    <w:qFormat/>
    <w:uiPriority w:val="0"/>
    <w:pPr>
      <w:spacing w:after="120"/>
    </w:pPr>
  </w:style>
  <w:style w:type="paragraph" w:styleId="8">
    <w:name w:val="Body Text Indent"/>
    <w:basedOn w:val="1"/>
    <w:link w:val="35"/>
    <w:unhideWhenUsed/>
    <w:qFormat/>
    <w:uiPriority w:val="99"/>
    <w:pPr>
      <w:widowControl/>
      <w:adjustRightInd w:val="0"/>
      <w:snapToGrid w:val="0"/>
      <w:spacing w:after="120"/>
      <w:ind w:left="420" w:leftChars="200"/>
      <w:jc w:val="left"/>
    </w:pPr>
    <w:rPr>
      <w:rFonts w:ascii="Tahoma" w:hAnsi="Tahoma" w:eastAsia="微软雅黑"/>
      <w:kern w:val="0"/>
      <w:sz w:val="22"/>
      <w:szCs w:val="22"/>
    </w:rPr>
  </w:style>
  <w:style w:type="paragraph" w:styleId="9">
    <w:name w:val="Plain Text"/>
    <w:basedOn w:val="1"/>
    <w:link w:val="24"/>
    <w:qFormat/>
    <w:uiPriority w:val="0"/>
    <w:rPr>
      <w:rFonts w:ascii="宋体" w:hAnsi="Courier New" w:cs="Courier New"/>
      <w:szCs w:val="21"/>
    </w:rPr>
  </w:style>
  <w:style w:type="paragraph" w:styleId="10">
    <w:name w:val="Body Text Indent 2"/>
    <w:basedOn w:val="1"/>
    <w:link w:val="32"/>
    <w:qFormat/>
    <w:uiPriority w:val="0"/>
    <w:pPr>
      <w:tabs>
        <w:tab w:val="left" w:pos="0"/>
        <w:tab w:val="left" w:pos="735"/>
      </w:tabs>
      <w:ind w:firstLine="523" w:firstLineChars="218"/>
    </w:pPr>
    <w:rPr>
      <w:rFonts w:ascii="宋体"/>
      <w:sz w:val="24"/>
      <w:szCs w:val="20"/>
    </w:rPr>
  </w:style>
  <w:style w:type="paragraph" w:styleId="11">
    <w:name w:val="Balloon Text"/>
    <w:basedOn w:val="1"/>
    <w:link w:val="46"/>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36" w:after="68"/>
      <w:jc w:val="left"/>
    </w:pPr>
    <w:rPr>
      <w:rFonts w:ascii="Verdana" w:hAnsi="Verdana" w:cs="宋体"/>
      <w:color w:val="333333"/>
      <w:kern w:val="0"/>
      <w:sz w:val="16"/>
      <w:szCs w:val="16"/>
    </w:rPr>
  </w:style>
  <w:style w:type="paragraph" w:styleId="16">
    <w:name w:val="annotation subject"/>
    <w:basedOn w:val="6"/>
    <w:next w:val="6"/>
    <w:link w:val="48"/>
    <w:semiHidden/>
    <w:unhideWhenUsed/>
    <w:qFormat/>
    <w:uiPriority w:val="99"/>
    <w:rPr>
      <w:b/>
      <w:bCs/>
    </w:rPr>
  </w:style>
  <w:style w:type="paragraph" w:styleId="17">
    <w:name w:val="Body Text First Indent 2"/>
    <w:basedOn w:val="8"/>
    <w:link w:val="49"/>
    <w:qFormat/>
    <w:uiPriority w:val="0"/>
    <w:pPr>
      <w:widowControl w:val="0"/>
      <w:adjustRightInd/>
      <w:snapToGrid/>
      <w:ind w:firstLine="420" w:firstLineChars="200"/>
      <w:jc w:val="both"/>
    </w:pPr>
    <w:rPr>
      <w:rFonts w:ascii="Times New Roman" w:hAnsi="Times New Roman" w:eastAsia="宋体"/>
      <w:kern w:val="2"/>
      <w:sz w:val="21"/>
      <w:szCs w:val="24"/>
    </w:rPr>
  </w:style>
  <w:style w:type="character" w:styleId="20">
    <w:name w:val="page number"/>
    <w:qFormat/>
    <w:uiPriority w:val="0"/>
  </w:style>
  <w:style w:type="character" w:styleId="21">
    <w:name w:val="Hyperlink"/>
    <w:basedOn w:val="19"/>
    <w:qFormat/>
    <w:uiPriority w:val="0"/>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标题 1 字符"/>
    <w:link w:val="2"/>
    <w:qFormat/>
    <w:locked/>
    <w:uiPriority w:val="99"/>
    <w:rPr>
      <w:rFonts w:ascii="宋体" w:hAnsi="Times New Roman" w:eastAsia="宋体" w:cs="Times New Roman"/>
      <w:b/>
      <w:kern w:val="44"/>
      <w:sz w:val="20"/>
      <w:szCs w:val="20"/>
    </w:rPr>
  </w:style>
  <w:style w:type="character" w:customStyle="1" w:styleId="24">
    <w:name w:val="纯文本 字符"/>
    <w:link w:val="9"/>
    <w:qFormat/>
    <w:locked/>
    <w:uiPriority w:val="0"/>
    <w:rPr>
      <w:rFonts w:ascii="宋体" w:hAnsi="Courier New" w:eastAsia="宋体" w:cs="Courier New"/>
      <w:sz w:val="21"/>
      <w:szCs w:val="21"/>
    </w:rPr>
  </w:style>
  <w:style w:type="character" w:customStyle="1" w:styleId="25">
    <w:name w:val="页脚 字符"/>
    <w:link w:val="12"/>
    <w:semiHidden/>
    <w:qFormat/>
    <w:locked/>
    <w:uiPriority w:val="99"/>
    <w:rPr>
      <w:rFonts w:cs="Times New Roman"/>
      <w:sz w:val="18"/>
      <w:szCs w:val="18"/>
    </w:rPr>
  </w:style>
  <w:style w:type="character" w:customStyle="1" w:styleId="26">
    <w:name w:val="页眉 字符"/>
    <w:link w:val="13"/>
    <w:semiHidden/>
    <w:qFormat/>
    <w:locked/>
    <w:uiPriority w:val="99"/>
    <w:rPr>
      <w:rFonts w:cs="Times New Roman"/>
      <w:sz w:val="18"/>
      <w:szCs w:val="18"/>
    </w:rPr>
  </w:style>
  <w:style w:type="paragraph" w:customStyle="1" w:styleId="27">
    <w:name w:val="列出段落1"/>
    <w:basedOn w:val="1"/>
    <w:link w:val="45"/>
    <w:qFormat/>
    <w:uiPriority w:val="34"/>
    <w:pPr>
      <w:ind w:firstLine="420" w:firstLineChars="200"/>
    </w:pPr>
  </w:style>
  <w:style w:type="paragraph" w:customStyle="1" w:styleId="28">
    <w:name w:val="样式1"/>
    <w:basedOn w:val="9"/>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29">
    <w:name w:val="p0"/>
    <w:basedOn w:val="1"/>
    <w:qFormat/>
    <w:uiPriority w:val="0"/>
    <w:pPr>
      <w:widowControl/>
    </w:pPr>
    <w:rPr>
      <w:kern w:val="0"/>
      <w:szCs w:val="21"/>
    </w:rPr>
  </w:style>
  <w:style w:type="paragraph" w:styleId="30">
    <w:name w:val="List Paragraph"/>
    <w:basedOn w:val="1"/>
    <w:link w:val="31"/>
    <w:qFormat/>
    <w:uiPriority w:val="34"/>
    <w:pPr>
      <w:ind w:firstLine="420" w:firstLineChars="200"/>
    </w:pPr>
    <w:rPr>
      <w:rFonts w:ascii="Calibri" w:hAnsi="Calibri"/>
      <w:szCs w:val="22"/>
    </w:rPr>
  </w:style>
  <w:style w:type="character" w:customStyle="1" w:styleId="31">
    <w:name w:val="列表段落 字符1"/>
    <w:link w:val="30"/>
    <w:qFormat/>
    <w:uiPriority w:val="34"/>
    <w:rPr>
      <w:kern w:val="2"/>
      <w:sz w:val="21"/>
      <w:szCs w:val="22"/>
      <w:lang w:bidi="ar-SA"/>
    </w:rPr>
  </w:style>
  <w:style w:type="character" w:customStyle="1" w:styleId="32">
    <w:name w:val="正文文本缩进 2 字符"/>
    <w:basedOn w:val="19"/>
    <w:link w:val="10"/>
    <w:qFormat/>
    <w:uiPriority w:val="0"/>
    <w:rPr>
      <w:rFonts w:ascii="宋体" w:hAnsi="Times New Roman"/>
      <w:kern w:val="2"/>
      <w:sz w:val="24"/>
      <w:lang w:bidi="ar-SA"/>
    </w:rPr>
  </w:style>
  <w:style w:type="paragraph" w:customStyle="1" w:styleId="33">
    <w:name w:val="样式3"/>
    <w:basedOn w:val="9"/>
    <w:qFormat/>
    <w:uiPriority w:val="0"/>
    <w:pPr>
      <w:spacing w:line="0" w:lineRule="atLeast"/>
      <w:outlineLvl w:val="0"/>
    </w:pPr>
    <w:rPr>
      <w:rFonts w:cs="Times New Roman"/>
      <w:sz w:val="28"/>
      <w:szCs w:val="24"/>
    </w:rPr>
  </w:style>
  <w:style w:type="character" w:customStyle="1" w:styleId="34">
    <w:name w:val="标题 2 字符"/>
    <w:basedOn w:val="19"/>
    <w:link w:val="3"/>
    <w:qFormat/>
    <w:uiPriority w:val="9"/>
    <w:rPr>
      <w:rFonts w:asciiTheme="majorHAnsi" w:hAnsiTheme="majorHAnsi" w:eastAsiaTheme="majorEastAsia" w:cstheme="majorBidi"/>
      <w:b/>
      <w:bCs/>
      <w:kern w:val="2"/>
      <w:sz w:val="32"/>
      <w:szCs w:val="32"/>
      <w:lang w:bidi="ar-SA"/>
    </w:rPr>
  </w:style>
  <w:style w:type="character" w:customStyle="1" w:styleId="35">
    <w:name w:val="正文文本缩进 字符"/>
    <w:basedOn w:val="19"/>
    <w:link w:val="8"/>
    <w:qFormat/>
    <w:uiPriority w:val="99"/>
    <w:rPr>
      <w:rFonts w:ascii="Tahoma" w:hAnsi="Tahoma" w:eastAsia="微软雅黑"/>
      <w:sz w:val="22"/>
      <w:szCs w:val="22"/>
      <w:lang w:bidi="ar-SA"/>
    </w:rPr>
  </w:style>
  <w:style w:type="character" w:customStyle="1" w:styleId="36">
    <w:name w:val="A1"/>
    <w:qFormat/>
    <w:uiPriority w:val="99"/>
    <w:rPr>
      <w:rFonts w:cs="Tw Cen MT"/>
      <w:color w:val="000000"/>
      <w:sz w:val="22"/>
      <w:szCs w:val="22"/>
    </w:rPr>
  </w:style>
  <w:style w:type="character" w:customStyle="1" w:styleId="37">
    <w:name w:val="A7"/>
    <w:qFormat/>
    <w:uiPriority w:val="99"/>
    <w:rPr>
      <w:rFonts w:cs="Tw Cen MT"/>
      <w:color w:val="000000"/>
      <w:sz w:val="13"/>
      <w:szCs w:val="13"/>
    </w:rPr>
  </w:style>
  <w:style w:type="character" w:customStyle="1" w:styleId="38">
    <w:name w:val="不明显参考1"/>
    <w:basedOn w:val="19"/>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9">
    <w:name w:val="标题1"/>
    <w:basedOn w:val="19"/>
    <w:qFormat/>
    <w:uiPriority w:val="0"/>
  </w:style>
  <w:style w:type="character" w:customStyle="1" w:styleId="40">
    <w:name w:val="标题 3 字符"/>
    <w:basedOn w:val="19"/>
    <w:link w:val="4"/>
    <w:semiHidden/>
    <w:qFormat/>
    <w:uiPriority w:val="0"/>
    <w:rPr>
      <w:rFonts w:ascii="Times New Roman" w:hAnsi="Times New Roman"/>
      <w:b/>
      <w:bCs/>
      <w:kern w:val="2"/>
      <w:sz w:val="32"/>
      <w:szCs w:val="32"/>
      <w:lang w:bidi="ar-SA"/>
    </w:rPr>
  </w:style>
  <w:style w:type="paragraph" w:customStyle="1" w:styleId="41">
    <w:name w:val="编号"/>
    <w:basedOn w:val="1"/>
    <w:next w:val="30"/>
    <w:qFormat/>
    <w:uiPriority w:val="99"/>
    <w:pPr>
      <w:ind w:firstLine="420" w:firstLineChars="200"/>
    </w:pPr>
    <w:rPr>
      <w:szCs w:val="21"/>
    </w:rPr>
  </w:style>
  <w:style w:type="character" w:customStyle="1" w:styleId="42">
    <w:name w:val="HTML 预设格式 Char"/>
    <w:basedOn w:val="19"/>
    <w:semiHidden/>
    <w:qFormat/>
    <w:uiPriority w:val="99"/>
    <w:rPr>
      <w:rFonts w:ascii="Courier New" w:hAnsi="Courier New" w:cs="Courier New"/>
      <w:kern w:val="2"/>
      <w:lang w:bidi="ar-SA"/>
    </w:rPr>
  </w:style>
  <w:style w:type="character" w:customStyle="1" w:styleId="43">
    <w:name w:val="HTML 预设格式 字符"/>
    <w:link w:val="14"/>
    <w:semiHidden/>
    <w:qFormat/>
    <w:uiPriority w:val="99"/>
    <w:rPr>
      <w:rFonts w:ascii="宋体" w:hAnsi="宋体" w:cs="宋体"/>
      <w:sz w:val="24"/>
      <w:szCs w:val="24"/>
      <w:lang w:bidi="ar-SA"/>
    </w:rPr>
  </w:style>
  <w:style w:type="paragraph" w:customStyle="1" w:styleId="44">
    <w:name w:val="Char Char Char Char Char Char Char"/>
    <w:basedOn w:val="1"/>
    <w:qFormat/>
    <w:uiPriority w:val="0"/>
  </w:style>
  <w:style w:type="character" w:customStyle="1" w:styleId="45">
    <w:name w:val="列表段落 字符"/>
    <w:link w:val="27"/>
    <w:qFormat/>
    <w:uiPriority w:val="34"/>
    <w:rPr>
      <w:rFonts w:ascii="Times New Roman" w:hAnsi="Times New Roman"/>
      <w:kern w:val="2"/>
      <w:sz w:val="21"/>
      <w:szCs w:val="24"/>
      <w:lang w:bidi="ar-SA"/>
    </w:rPr>
  </w:style>
  <w:style w:type="character" w:customStyle="1" w:styleId="46">
    <w:name w:val="批注框文本 字符"/>
    <w:basedOn w:val="19"/>
    <w:link w:val="11"/>
    <w:semiHidden/>
    <w:qFormat/>
    <w:uiPriority w:val="99"/>
    <w:rPr>
      <w:kern w:val="2"/>
      <w:sz w:val="18"/>
      <w:szCs w:val="18"/>
    </w:rPr>
  </w:style>
  <w:style w:type="character" w:customStyle="1" w:styleId="47">
    <w:name w:val="批注文字 字符"/>
    <w:basedOn w:val="19"/>
    <w:link w:val="6"/>
    <w:semiHidden/>
    <w:qFormat/>
    <w:uiPriority w:val="99"/>
    <w:rPr>
      <w:kern w:val="2"/>
      <w:sz w:val="21"/>
      <w:szCs w:val="24"/>
    </w:rPr>
  </w:style>
  <w:style w:type="character" w:customStyle="1" w:styleId="48">
    <w:name w:val="批注主题 字符"/>
    <w:basedOn w:val="47"/>
    <w:link w:val="16"/>
    <w:semiHidden/>
    <w:qFormat/>
    <w:uiPriority w:val="99"/>
    <w:rPr>
      <w:b/>
      <w:bCs/>
      <w:kern w:val="2"/>
      <w:sz w:val="21"/>
      <w:szCs w:val="24"/>
    </w:rPr>
  </w:style>
  <w:style w:type="character" w:customStyle="1" w:styleId="49">
    <w:name w:val="正文文本首行缩进 2 字符"/>
    <w:basedOn w:val="35"/>
    <w:link w:val="17"/>
    <w:qFormat/>
    <w:uiPriority w:val="0"/>
    <w:rPr>
      <w:rFonts w:ascii="Tahoma" w:hAnsi="Tahoma" w:eastAsia="微软雅黑"/>
      <w:kern w:val="2"/>
      <w:sz w:val="21"/>
      <w:szCs w:val="24"/>
      <w:lang w:bidi="ar-SA"/>
    </w:rPr>
  </w:style>
  <w:style w:type="character" w:customStyle="1" w:styleId="50">
    <w:name w:val="正文文本 字符"/>
    <w:basedOn w:val="19"/>
    <w:link w:val="7"/>
    <w:qFormat/>
    <w:uiPriority w:val="0"/>
    <w:rPr>
      <w:kern w:val="2"/>
      <w:sz w:val="21"/>
      <w:szCs w:val="24"/>
    </w:rPr>
  </w:style>
  <w:style w:type="paragraph" w:customStyle="1" w:styleId="51">
    <w:name w:val="样式 标题 4 + 段前: 5 磅 段后: 5 磅 行距: 单倍行距"/>
    <w:basedOn w:val="5"/>
    <w:qFormat/>
    <w:uiPriority w:val="0"/>
    <w:pPr>
      <w:spacing w:before="100" w:after="100" w:line="240" w:lineRule="auto"/>
    </w:pPr>
    <w:rPr>
      <w:rFonts w:ascii="Arial" w:hAnsi="Arial" w:eastAsia="黑体" w:cs="宋体"/>
      <w:szCs w:val="20"/>
    </w:rPr>
  </w:style>
  <w:style w:type="paragraph" w:customStyle="1" w:styleId="52">
    <w:name w:val="样式 标题 2 + 宋体 五号 非加粗 黑色"/>
    <w:basedOn w:val="3"/>
    <w:qFormat/>
    <w:uiPriority w:val="0"/>
    <w:pPr>
      <w:spacing w:line="416" w:lineRule="atLeast"/>
      <w:ind w:left="709"/>
    </w:pPr>
    <w:rPr>
      <w:rFonts w:ascii="宋体" w:hAnsi="宋体" w:eastAsia="宋体" w:cs="Times New Roman"/>
      <w:b w:val="0"/>
      <w:bCs w:val="0"/>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56D97-2909-45A3-8B12-9D71AAA06FC5}">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48</Pages>
  <Words>4592</Words>
  <Characters>26179</Characters>
  <Lines>218</Lines>
  <Paragraphs>61</Paragraphs>
  <TotalTime>29</TotalTime>
  <ScaleCrop>false</ScaleCrop>
  <LinksUpToDate>false</LinksUpToDate>
  <CharactersWithSpaces>30710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2021-11-19T03:34:00Z</dcterms:created>
  <dc:creator>许熠堃(8027)</dc:creator>
  <cp:lastModifiedBy>红日初升</cp:lastModifiedBy>
  <cp:lastPrinted>2021-11-11T02:21:00Z</cp:lastPrinted>
  <dcterms:modified xsi:type="dcterms:W3CDTF">2021-11-23T07:22:54Z</dcterms:modified>
  <dc:title>厦  门  大  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415FA501460242FA8727B9CD8993D7F0</vt:lpwstr>
  </property>
</Properties>
</file>