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530" w:firstLineChars="700"/>
        <w:rPr>
          <w:rFonts w:ascii="宋体" w:hAnsi="宋体"/>
          <w:b/>
          <w:bCs/>
          <w:sz w:val="36"/>
          <w:szCs w:val="28"/>
        </w:rPr>
      </w:pPr>
      <w:r>
        <w:rPr>
          <w:rFonts w:hint="eastAsia" w:ascii="宋体" w:hAnsi="宋体"/>
          <w:b/>
          <w:bCs/>
          <w:sz w:val="36"/>
          <w:szCs w:val="28"/>
        </w:rPr>
        <w:t>氢氧燃料电池测试系统</w:t>
      </w:r>
    </w:p>
    <w:p>
      <w:pPr>
        <w:ind w:firstLine="1807" w:firstLineChars="5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采购编号： JGYQ-2021TP-0</w:t>
      </w:r>
      <w:r>
        <w:rPr>
          <w:rFonts w:ascii="宋体" w:hAnsi="宋体"/>
          <w:b/>
          <w:bCs/>
          <w:sz w:val="36"/>
          <w:szCs w:val="28"/>
        </w:rPr>
        <w:t>85</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w:t>
      </w:r>
      <w:r>
        <w:rPr>
          <w:rFonts w:ascii="宋体" w:hAnsi="宋体"/>
          <w:b/>
          <w:bCs/>
          <w:sz w:val="28"/>
          <w:szCs w:val="28"/>
        </w:rPr>
        <w:t>9</w:t>
      </w:r>
      <w:r>
        <w:rPr>
          <w:rFonts w:hint="eastAsia" w:ascii="宋体" w:hAnsi="宋体"/>
          <w:b/>
          <w:bCs/>
          <w:sz w:val="28"/>
          <w:szCs w:val="28"/>
        </w:rPr>
        <w:t>月</w:t>
      </w:r>
      <w:r>
        <w:rPr>
          <w:rFonts w:ascii="宋体" w:hAnsi="宋体"/>
          <w:b/>
          <w:bCs/>
          <w:sz w:val="28"/>
          <w:szCs w:val="28"/>
        </w:rPr>
        <w:t>17</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氢氧燃料电池测试系统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采购编号：JGYQ-2021TP-0</w:t>
      </w:r>
      <w:r>
        <w:rPr>
          <w:rFonts w:ascii="宋体" w:hAnsi="宋体"/>
          <w:sz w:val="28"/>
          <w:szCs w:val="28"/>
        </w:rPr>
        <w:t>85</w:t>
      </w:r>
      <w:r>
        <w:rPr>
          <w:rFonts w:hint="eastAsia" w:ascii="宋体" w:hAnsi="宋体"/>
          <w:sz w:val="28"/>
          <w:szCs w:val="28"/>
        </w:rPr>
        <w:t xml:space="preserve"> </w:t>
      </w:r>
    </w:p>
    <w:p>
      <w:pPr>
        <w:numPr>
          <w:ilvl w:val="0"/>
          <w:numId w:val="2"/>
        </w:numPr>
        <w:spacing w:line="360" w:lineRule="auto"/>
        <w:rPr>
          <w:rFonts w:ascii="宋体"/>
          <w:sz w:val="28"/>
          <w:szCs w:val="28"/>
        </w:rPr>
      </w:pPr>
      <w:r>
        <w:rPr>
          <w:rFonts w:hint="eastAsia" w:ascii="宋体" w:hAnsi="宋体"/>
          <w:sz w:val="28"/>
          <w:szCs w:val="28"/>
        </w:rPr>
        <w:t>采购项目：氢氧燃料电池测试系统</w:t>
      </w:r>
    </w:p>
    <w:p>
      <w:pPr>
        <w:numPr>
          <w:ilvl w:val="0"/>
          <w:numId w:val="2"/>
        </w:numPr>
        <w:spacing w:line="360" w:lineRule="auto"/>
        <w:rPr>
          <w:rFonts w:ascii="宋体"/>
          <w:sz w:val="28"/>
          <w:szCs w:val="28"/>
        </w:rPr>
      </w:pPr>
      <w:r>
        <w:rPr>
          <w:rFonts w:hint="eastAsia" w:ascii="宋体" w:hAnsi="宋体"/>
          <w:sz w:val="28"/>
          <w:szCs w:val="28"/>
        </w:rPr>
        <w:t>采购预算：</w:t>
      </w:r>
      <w:r>
        <w:rPr>
          <w:rFonts w:hint="eastAsia"/>
          <w:sz w:val="28"/>
          <w:szCs w:val="28"/>
        </w:rPr>
        <w:t>本项目预算人民币</w:t>
      </w:r>
      <w:r>
        <w:rPr>
          <w:sz w:val="28"/>
          <w:szCs w:val="28"/>
        </w:rPr>
        <w:t>497580</w:t>
      </w:r>
      <w:r>
        <w:rPr>
          <w:rFonts w:hint="eastAsia"/>
          <w:sz w:val="28"/>
          <w:szCs w:val="28"/>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2021</w:t>
      </w:r>
      <w:r>
        <w:rPr>
          <w:rFonts w:hint="eastAsia" w:ascii="宋体" w:hAnsi="宋体"/>
          <w:b/>
          <w:sz w:val="28"/>
          <w:szCs w:val="28"/>
        </w:rPr>
        <w:t>年</w:t>
      </w:r>
      <w:r>
        <w:rPr>
          <w:rFonts w:hint="eastAsia" w:ascii="宋体" w:hAnsi="宋体"/>
          <w:b/>
          <w:sz w:val="28"/>
          <w:szCs w:val="28"/>
          <w:highlight w:val="none"/>
          <w:lang w:val="en-US" w:eastAsia="zh-CN"/>
        </w:rPr>
        <w:t>10</w:t>
      </w:r>
      <w:r>
        <w:rPr>
          <w:rFonts w:hint="eastAsia" w:ascii="宋体" w:hAnsi="宋体"/>
          <w:b/>
          <w:sz w:val="28"/>
          <w:szCs w:val="28"/>
          <w:highlight w:val="none"/>
        </w:rPr>
        <w:t>月</w:t>
      </w:r>
      <w:r>
        <w:rPr>
          <w:rFonts w:hint="eastAsia" w:ascii="宋体" w:hAnsi="宋体"/>
          <w:b/>
          <w:sz w:val="28"/>
          <w:szCs w:val="28"/>
          <w:highlight w:val="none"/>
          <w:lang w:val="en-US" w:eastAsia="zh-CN"/>
        </w:rPr>
        <w:t>8</w:t>
      </w:r>
      <w:r>
        <w:rPr>
          <w:rFonts w:hint="eastAsia" w:ascii="宋体" w:hAnsi="宋体"/>
          <w:b/>
          <w:sz w:val="28"/>
          <w:szCs w:val="28"/>
          <w:highlight w:val="none"/>
        </w:rPr>
        <w:t>日</w:t>
      </w:r>
      <w:r>
        <w:rPr>
          <w:rFonts w:hint="eastAsia" w:ascii="宋体" w:hAnsi="宋体"/>
          <w:b/>
          <w:sz w:val="28"/>
          <w:szCs w:val="28"/>
          <w:highlight w:val="none"/>
          <w:lang w:val="en-US" w:eastAsia="zh-CN"/>
        </w:rPr>
        <w:t>上午</w:t>
      </w:r>
      <w:r>
        <w:rPr>
          <w:rFonts w:ascii="宋体" w:hAnsi="宋体"/>
          <w:b/>
          <w:sz w:val="28"/>
          <w:szCs w:val="28"/>
          <w:highlight w:val="none"/>
        </w:rPr>
        <w:t>9</w:t>
      </w:r>
      <w:r>
        <w:rPr>
          <w:rFonts w:hint="eastAsia" w:ascii="宋体" w:hAnsi="宋体"/>
          <w:b/>
          <w:sz w:val="28"/>
          <w:szCs w:val="28"/>
          <w:highlight w:val="none"/>
        </w:rPr>
        <w:t>：30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w:t>
      </w:r>
      <w:r>
        <w:rPr>
          <w:rFonts w:ascii="宋体" w:hAnsi="宋体"/>
          <w:sz w:val="28"/>
          <w:szCs w:val="28"/>
        </w:rPr>
        <w:t>202</w:t>
      </w:r>
      <w:r>
        <w:rPr>
          <w:rFonts w:hint="eastAsia" w:ascii="宋体" w:hAnsi="宋体"/>
          <w:sz w:val="28"/>
          <w:szCs w:val="28"/>
        </w:rPr>
        <w:t>1年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sz w:val="28"/>
          <w:szCs w:val="28"/>
        </w:rPr>
        <w:t xml:space="preserve"> </w:t>
      </w:r>
      <w:r>
        <w:rPr>
          <w:rFonts w:hint="eastAsia" w:ascii="宋体" w:hAnsi="宋体"/>
          <w:sz w:val="28"/>
          <w:szCs w:val="28"/>
        </w:rPr>
        <w:t>开标地点：厦门市思明南路422号厦门大学颂恩楼</w:t>
      </w:r>
      <w:r>
        <w:rPr>
          <w:rFonts w:hint="eastAsia" w:ascii="宋体" w:hAnsi="宋体"/>
          <w:sz w:val="28"/>
          <w:szCs w:val="28"/>
          <w:highlight w:val="none"/>
        </w:rPr>
        <w:t>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sz w:val="28"/>
          <w:szCs w:val="28"/>
        </w:rPr>
      </w:pPr>
      <w:r>
        <w:rPr>
          <w:rFonts w:hint="eastAsia" w:ascii="宋体" w:hAnsi="宋体"/>
          <w:sz w:val="28"/>
          <w:szCs w:val="28"/>
        </w:rPr>
        <w:t xml:space="preserve">技术需求方面请联系用户单位： 王老师 </w:t>
      </w:r>
      <w:r>
        <w:rPr>
          <w:rFonts w:ascii="宋体" w:hAnsi="宋体"/>
          <w:sz w:val="28"/>
          <w:szCs w:val="28"/>
        </w:rPr>
        <w:t>15959212261</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jc w:val="left"/>
        <w:rPr>
          <w:rFonts w:ascii="宋体" w:hAnsi="宋体"/>
          <w:sz w:val="28"/>
          <w:szCs w:val="28"/>
        </w:rPr>
      </w:pPr>
      <w:r>
        <w:fldChar w:fldCharType="begin"/>
      </w:r>
      <w:r>
        <w:instrText xml:space="preserve"> HYPERLINK "mailto:zyhe@xmu.edu.cn" </w:instrText>
      </w:r>
      <w:r>
        <w:fldChar w:fldCharType="separate"/>
      </w:r>
      <w:r>
        <w:rPr>
          <w:rStyle w:val="15"/>
          <w:rFonts w:ascii="宋体" w:hAnsi="宋体"/>
          <w:sz w:val="28"/>
          <w:szCs w:val="28"/>
        </w:rPr>
        <w:t>zyhe@xmu.edu.cn</w:t>
      </w:r>
      <w:r>
        <w:rPr>
          <w:rStyle w:val="15"/>
          <w:rFonts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w:t>
      </w:r>
      <w:r>
        <w:rPr>
          <w:rFonts w:hint="eastAsia" w:ascii="宋体" w:hAnsi="宋体"/>
          <w:sz w:val="28"/>
          <w:szCs w:val="28"/>
        </w:rPr>
        <w:t>1年</w:t>
      </w:r>
      <w:r>
        <w:rPr>
          <w:rFonts w:ascii="宋体" w:hAnsi="宋体"/>
          <w:sz w:val="28"/>
          <w:szCs w:val="28"/>
        </w:rPr>
        <w:t>9</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2"/>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2"/>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36"/>
        <w:gridCol w:w="912"/>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13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1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14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36" w:type="dxa"/>
            <w:shd w:val="clear" w:color="000000" w:fill="FFFFFF"/>
            <w:vAlign w:val="center"/>
          </w:tcPr>
          <w:p>
            <w:pPr>
              <w:widowControl/>
              <w:jc w:val="center"/>
              <w:rPr>
                <w:rFonts w:ascii="宋体" w:hAnsi="宋体"/>
                <w:sz w:val="24"/>
              </w:rPr>
            </w:pPr>
            <w:r>
              <w:rPr>
                <w:rFonts w:hint="eastAsia" w:ascii="宋体" w:hAnsi="宋体"/>
                <w:sz w:val="24"/>
              </w:rPr>
              <w:t>氢氧燃料电池测试系统</w:t>
            </w:r>
          </w:p>
        </w:tc>
        <w:tc>
          <w:tcPr>
            <w:tcW w:w="912" w:type="dxa"/>
            <w:shd w:val="clear" w:color="000000" w:fill="FFFFFF"/>
            <w:vAlign w:val="center"/>
          </w:tcPr>
          <w:p>
            <w:pPr>
              <w:widowControl/>
              <w:jc w:val="center"/>
              <w:rPr>
                <w:rFonts w:ascii="宋体" w:hAnsi="宋体"/>
                <w:kern w:val="0"/>
                <w:sz w:val="24"/>
              </w:rPr>
            </w:pPr>
            <w:r>
              <w:rPr>
                <w:rFonts w:ascii="宋体" w:hAnsi="宋体"/>
                <w:kern w:val="0"/>
                <w:sz w:val="24"/>
              </w:rPr>
              <w:t>3</w:t>
            </w:r>
            <w:r>
              <w:rPr>
                <w:rFonts w:hint="eastAsia" w:ascii="宋体" w:hAnsi="宋体"/>
                <w:kern w:val="0"/>
                <w:sz w:val="24"/>
              </w:rPr>
              <w:t>套</w:t>
            </w:r>
          </w:p>
        </w:tc>
        <w:tc>
          <w:tcPr>
            <w:tcW w:w="4146" w:type="dxa"/>
            <w:shd w:val="clear" w:color="000000" w:fill="FFFFFF"/>
            <w:vAlign w:val="center"/>
          </w:tcPr>
          <w:p>
            <w:pPr>
              <w:rPr>
                <w:highlight w:val="none"/>
              </w:rPr>
            </w:pPr>
            <w:r>
              <w:rPr>
                <w:rFonts w:hint="eastAsia"/>
                <w:highlight w:val="none"/>
              </w:rPr>
              <w:t>1.电子负载器</w:t>
            </w:r>
          </w:p>
          <w:p>
            <w:pPr>
              <w:rPr>
                <w:highlight w:val="none"/>
              </w:rPr>
            </w:pPr>
            <w:r>
              <w:rPr>
                <w:rFonts w:hint="eastAsia"/>
                <w:highlight w:val="none"/>
              </w:rPr>
              <w:t>使用负载型式：电阻型负载</w:t>
            </w:r>
          </w:p>
          <w:p>
            <w:pPr>
              <w:rPr>
                <w:highlight w:val="none"/>
              </w:rPr>
            </w:pPr>
            <w:r>
              <w:rPr>
                <w:rFonts w:hint="eastAsia"/>
                <w:highlight w:val="none"/>
              </w:rPr>
              <w:t>最大功率：≧300W</w:t>
            </w:r>
          </w:p>
          <w:p>
            <w:pPr>
              <w:rPr>
                <w:highlight w:val="none"/>
              </w:rPr>
            </w:pPr>
            <w:r>
              <w:rPr>
                <w:rFonts w:hint="eastAsia"/>
                <w:highlight w:val="none"/>
              </w:rPr>
              <w:t>*功率精确度：≦±(0.1%+0.1% of f.s)</w:t>
            </w:r>
          </w:p>
          <w:p>
            <w:pPr>
              <w:rPr>
                <w:highlight w:val="none"/>
              </w:rPr>
            </w:pPr>
            <w:r>
              <w:rPr>
                <w:rFonts w:hint="eastAsia"/>
                <w:highlight w:val="none"/>
              </w:rPr>
              <w:t>电流范围：0~60A</w:t>
            </w:r>
          </w:p>
          <w:p>
            <w:pPr>
              <w:rPr>
                <w:rFonts w:hint="eastAsia"/>
                <w:highlight w:val="none"/>
              </w:rPr>
            </w:pPr>
            <w:r>
              <w:rPr>
                <w:rFonts w:hint="eastAsia"/>
                <w:highlight w:val="none"/>
              </w:rPr>
              <w:t>电流分辨率：0.01mA/0.1mA/1mA，</w:t>
            </w:r>
            <w:r>
              <w:rPr>
                <w:highlight w:val="none"/>
              </w:rPr>
              <w:t>3</w:t>
            </w:r>
            <w:r>
              <w:rPr>
                <w:rFonts w:hint="eastAsia"/>
                <w:highlight w:val="none"/>
              </w:rPr>
              <w:t>档可选</w:t>
            </w:r>
          </w:p>
          <w:p>
            <w:pPr>
              <w:rPr>
                <w:highlight w:val="none"/>
              </w:rPr>
            </w:pPr>
            <w:r>
              <w:rPr>
                <w:rFonts w:hint="eastAsia"/>
                <w:highlight w:val="none"/>
              </w:rPr>
              <w:t>*电流精确度： ≦±(0.1%+0.1% of F.s);</w:t>
            </w:r>
          </w:p>
          <w:p>
            <w:pPr>
              <w:rPr>
                <w:highlight w:val="none"/>
              </w:rPr>
            </w:pPr>
            <w:r>
              <w:rPr>
                <w:rFonts w:hint="eastAsia"/>
                <w:highlight w:val="none"/>
              </w:rPr>
              <w:t>电压范围：0~80V</w:t>
            </w:r>
          </w:p>
          <w:p>
            <w:pPr>
              <w:rPr>
                <w:highlight w:val="none"/>
              </w:rPr>
            </w:pPr>
            <w:r>
              <w:rPr>
                <w:rFonts w:hint="eastAsia"/>
                <w:highlight w:val="none"/>
              </w:rPr>
              <w:t>电压分辨率：≦1mV</w:t>
            </w:r>
          </w:p>
          <w:p>
            <w:pPr>
              <w:rPr>
                <w:highlight w:val="none"/>
              </w:rPr>
            </w:pPr>
            <w:r>
              <w:rPr>
                <w:rFonts w:hint="eastAsia"/>
                <w:highlight w:val="none"/>
              </w:rPr>
              <w:t>电压精确度：≦±(0.05%+0.1% of F.s)</w:t>
            </w:r>
          </w:p>
          <w:p>
            <w:pPr>
              <w:rPr>
                <w:highlight w:val="none"/>
              </w:rPr>
            </w:pPr>
            <w:r>
              <w:rPr>
                <w:rFonts w:hint="eastAsia"/>
                <w:highlight w:val="none"/>
              </w:rPr>
              <w:t>冷却方式：空冷</w:t>
            </w:r>
          </w:p>
          <w:p>
            <w:pPr>
              <w:rPr>
                <w:highlight w:val="none"/>
              </w:rPr>
            </w:pPr>
            <w:r>
              <w:rPr>
                <w:rFonts w:hint="eastAsia"/>
                <w:highlight w:val="none"/>
              </w:rPr>
              <w:t>功能：恒定电流、恒定电压、恒定功率</w:t>
            </w:r>
          </w:p>
          <w:p>
            <w:pPr>
              <w:rPr>
                <w:highlight w:val="none"/>
              </w:rPr>
            </w:pPr>
            <w:r>
              <w:rPr>
                <w:rFonts w:hint="eastAsia"/>
                <w:highlight w:val="none"/>
              </w:rPr>
              <w:t>2.燃料流量控制：</w:t>
            </w:r>
          </w:p>
          <w:p>
            <w:pPr>
              <w:rPr>
                <w:highlight w:val="none"/>
              </w:rPr>
            </w:pPr>
            <w:r>
              <w:rPr>
                <w:rFonts w:hint="eastAsia"/>
                <w:highlight w:val="none"/>
              </w:rPr>
              <w:t>界面型式：阳极燃料 X1，阴极燃料 X1</w:t>
            </w:r>
            <w:r>
              <w:rPr>
                <w:rFonts w:hint="eastAsia"/>
                <w:highlight w:val="none"/>
              </w:rPr>
              <w:tab/>
            </w:r>
          </w:p>
          <w:p>
            <w:pPr>
              <w:rPr>
                <w:highlight w:val="none"/>
              </w:rPr>
            </w:pPr>
            <w:r>
              <w:rPr>
                <w:rFonts w:hint="eastAsia"/>
                <w:highlight w:val="none"/>
              </w:rPr>
              <w:t>阳极燃料控制</w:t>
            </w:r>
          </w:p>
          <w:p>
            <w:pPr>
              <w:rPr>
                <w:highlight w:val="none"/>
              </w:rPr>
            </w:pPr>
            <w:r>
              <w:rPr>
                <w:rFonts w:hint="eastAsia"/>
                <w:highlight w:val="none"/>
              </w:rPr>
              <w:t>气体种类：氢气（H2）</w:t>
            </w:r>
            <w:r>
              <w:rPr>
                <w:rFonts w:hint="eastAsia"/>
                <w:highlight w:val="none"/>
              </w:rPr>
              <w:tab/>
            </w:r>
          </w:p>
          <w:p>
            <w:pPr>
              <w:rPr>
                <w:highlight w:val="none"/>
              </w:rPr>
            </w:pPr>
            <w:r>
              <w:rPr>
                <w:rFonts w:hint="eastAsia"/>
                <w:highlight w:val="none"/>
              </w:rPr>
              <w:t>流量控制范围：≧0.04~2 NLPM (50：1 turndown)</w:t>
            </w:r>
          </w:p>
          <w:p>
            <w:pPr>
              <w:rPr>
                <w:highlight w:val="none"/>
              </w:rPr>
            </w:pPr>
            <w:r>
              <w:rPr>
                <w:rFonts w:hint="eastAsia"/>
                <w:highlight w:val="none"/>
              </w:rPr>
              <w:t>阴极燃料控制</w:t>
            </w:r>
            <w:r>
              <w:rPr>
                <w:rFonts w:hint="eastAsia"/>
                <w:highlight w:val="none"/>
              </w:rPr>
              <w:tab/>
            </w:r>
          </w:p>
          <w:p>
            <w:pPr>
              <w:rPr>
                <w:highlight w:val="none"/>
              </w:rPr>
            </w:pPr>
            <w:r>
              <w:rPr>
                <w:rFonts w:hint="eastAsia"/>
                <w:highlight w:val="none"/>
              </w:rPr>
              <w:t>气体种类：空气 (Air)</w:t>
            </w:r>
          </w:p>
          <w:p>
            <w:pPr>
              <w:rPr>
                <w:highlight w:val="none"/>
              </w:rPr>
            </w:pPr>
            <w:r>
              <w:rPr>
                <w:rFonts w:hint="eastAsia"/>
                <w:highlight w:val="none"/>
              </w:rPr>
              <w:t>流量控制范围：≧0.1~5 NLPM (50：1 turndown)</w:t>
            </w:r>
          </w:p>
          <w:p>
            <w:pPr>
              <w:rPr>
                <w:highlight w:val="none"/>
              </w:rPr>
            </w:pPr>
            <w:r>
              <w:rPr>
                <w:rFonts w:hint="eastAsia"/>
                <w:highlight w:val="none"/>
              </w:rPr>
              <w:t xml:space="preserve">质量流量计精度：≦± (0.8% of reading +0.2% of full scale setting) </w:t>
            </w:r>
          </w:p>
          <w:p>
            <w:pPr>
              <w:rPr>
                <w:highlight w:val="none"/>
              </w:rPr>
            </w:pPr>
            <w:r>
              <w:rPr>
                <w:rFonts w:hint="eastAsia"/>
                <w:highlight w:val="none"/>
              </w:rPr>
              <w:t>流量控制精度：±1% full scale setting (稳态)</w:t>
            </w:r>
          </w:p>
          <w:p>
            <w:pPr>
              <w:rPr>
                <w:highlight w:val="none"/>
              </w:rPr>
            </w:pPr>
            <w:r>
              <w:rPr>
                <w:rFonts w:hint="eastAsia"/>
                <w:highlight w:val="none"/>
              </w:rPr>
              <w:t>运行模式：阳极/阴极可自动透过质量流量计进行氮气吹扫的功能，可控制氮气吹扫的流量与吹扫时间，并且可使用手动或软体脚本编辑自动吹扫时间。</w:t>
            </w:r>
          </w:p>
          <w:p>
            <w:pPr>
              <w:rPr>
                <w:highlight w:val="none"/>
              </w:rPr>
            </w:pPr>
            <w:r>
              <w:rPr>
                <w:rFonts w:hint="eastAsia"/>
                <w:highlight w:val="none"/>
              </w:rPr>
              <w:t>3.温度PID控制器</w:t>
            </w:r>
          </w:p>
          <w:p>
            <w:pPr>
              <w:rPr>
                <w:highlight w:val="none"/>
              </w:rPr>
            </w:pPr>
            <w:r>
              <w:rPr>
                <w:rFonts w:hint="eastAsia"/>
                <w:highlight w:val="none"/>
              </w:rPr>
              <w:t>数量：3组</w:t>
            </w:r>
          </w:p>
          <w:p>
            <w:pPr>
              <w:rPr>
                <w:highlight w:val="none"/>
              </w:rPr>
            </w:pPr>
            <w:r>
              <w:rPr>
                <w:rFonts w:hint="eastAsia"/>
                <w:highlight w:val="none"/>
              </w:rPr>
              <w:t>阳极加湿器/出口</w:t>
            </w:r>
          </w:p>
          <w:p>
            <w:pPr>
              <w:rPr>
                <w:highlight w:val="none"/>
              </w:rPr>
            </w:pPr>
            <w:r>
              <w:rPr>
                <w:rFonts w:hint="eastAsia"/>
                <w:highlight w:val="none"/>
              </w:rPr>
              <w:t>加热带温度</w:t>
            </w:r>
          </w:p>
          <w:p>
            <w:pPr>
              <w:rPr>
                <w:highlight w:val="none"/>
              </w:rPr>
            </w:pPr>
            <w:r>
              <w:rPr>
                <w:rFonts w:hint="eastAsia"/>
                <w:highlight w:val="none"/>
              </w:rPr>
              <w:t>阴极加湿器/出口</w:t>
            </w:r>
          </w:p>
          <w:p>
            <w:pPr>
              <w:rPr>
                <w:highlight w:val="none"/>
              </w:rPr>
            </w:pPr>
            <w:r>
              <w:rPr>
                <w:rFonts w:hint="eastAsia"/>
                <w:highlight w:val="none"/>
              </w:rPr>
              <w:t>加热带温度</w:t>
            </w:r>
          </w:p>
          <w:p>
            <w:pPr>
              <w:rPr>
                <w:highlight w:val="none"/>
              </w:rPr>
            </w:pPr>
            <w:r>
              <w:rPr>
                <w:rFonts w:hint="eastAsia"/>
                <w:highlight w:val="none"/>
              </w:rPr>
              <w:t>电池温度控制</w:t>
            </w:r>
          </w:p>
          <w:p>
            <w:pPr>
              <w:rPr>
                <w:highlight w:val="none"/>
              </w:rPr>
            </w:pPr>
            <w:r>
              <w:rPr>
                <w:rFonts w:hint="eastAsia"/>
                <w:highlight w:val="none"/>
              </w:rPr>
              <w:t>温度范围：0~90℃</w:t>
            </w:r>
          </w:p>
          <w:p>
            <w:pPr>
              <w:rPr>
                <w:highlight w:val="none"/>
              </w:rPr>
            </w:pPr>
            <w:r>
              <w:rPr>
                <w:rFonts w:hint="eastAsia"/>
                <w:highlight w:val="none"/>
              </w:rPr>
              <w:t>温度量测精度：≦±0.5℃ (稳态状态)</w:t>
            </w:r>
          </w:p>
          <w:p>
            <w:pPr>
              <w:rPr>
                <w:highlight w:val="none"/>
              </w:rPr>
            </w:pPr>
            <w:r>
              <w:rPr>
                <w:rFonts w:hint="eastAsia"/>
                <w:highlight w:val="none"/>
              </w:rPr>
              <w:t>感温器种类：Thermocouple，Type T</w:t>
            </w:r>
            <w:r>
              <w:rPr>
                <w:rFonts w:hint="eastAsia"/>
                <w:highlight w:val="none"/>
              </w:rPr>
              <w:tab/>
            </w:r>
          </w:p>
          <w:p>
            <w:pPr>
              <w:rPr>
                <w:highlight w:val="none"/>
              </w:rPr>
            </w:pPr>
            <w:r>
              <w:rPr>
                <w:rFonts w:hint="eastAsia"/>
                <w:highlight w:val="none"/>
              </w:rPr>
              <w:t>4.安全保护机制</w:t>
            </w:r>
          </w:p>
          <w:p>
            <w:pPr>
              <w:rPr>
                <w:highlight w:val="none"/>
              </w:rPr>
            </w:pPr>
            <w:r>
              <w:rPr>
                <w:rFonts w:hint="eastAsia"/>
                <w:highlight w:val="none"/>
              </w:rPr>
              <w:t>安全保护种类：过/低温度、燃料供应异常、实验室安全异常保护</w:t>
            </w:r>
          </w:p>
          <w:p>
            <w:pPr>
              <w:rPr>
                <w:highlight w:val="none"/>
              </w:rPr>
            </w:pPr>
            <w:r>
              <w:rPr>
                <w:rFonts w:hint="eastAsia"/>
                <w:highlight w:val="none"/>
              </w:rPr>
              <w:t>保护机制：负载移除、温度移除、燃料移除、氮气吹扫</w:t>
            </w:r>
          </w:p>
          <w:p>
            <w:pPr>
              <w:rPr>
                <w:highlight w:val="none"/>
              </w:rPr>
            </w:pPr>
            <w:r>
              <w:rPr>
                <w:rFonts w:hint="eastAsia"/>
                <w:highlight w:val="none"/>
              </w:rPr>
              <w:t>氢气侦测器：一组</w:t>
            </w:r>
          </w:p>
          <w:p>
            <w:pPr>
              <w:rPr>
                <w:highlight w:val="none"/>
              </w:rPr>
            </w:pPr>
            <w:r>
              <w:rPr>
                <w:rFonts w:hint="eastAsia"/>
                <w:highlight w:val="none"/>
              </w:rPr>
              <w:t>紧急暂停：一组</w:t>
            </w:r>
          </w:p>
          <w:p>
            <w:pPr>
              <w:rPr>
                <w:highlight w:val="none"/>
              </w:rPr>
            </w:pPr>
            <w:r>
              <w:rPr>
                <w:rFonts w:hint="eastAsia"/>
                <w:highlight w:val="none"/>
              </w:rPr>
              <w:t>5.软体功能</w:t>
            </w:r>
          </w:p>
          <w:p>
            <w:pPr>
              <w:rPr>
                <w:highlight w:val="none"/>
              </w:rPr>
            </w:pPr>
            <w:r>
              <w:rPr>
                <w:rFonts w:hint="eastAsia"/>
                <w:highlight w:val="none"/>
              </w:rPr>
              <w:t>测试程式设定功能</w:t>
            </w:r>
          </w:p>
          <w:p>
            <w:pPr>
              <w:rPr>
                <w:highlight w:val="none"/>
              </w:rPr>
            </w:pPr>
            <w:r>
              <w:rPr>
                <w:rFonts w:hint="eastAsia"/>
                <w:highlight w:val="none"/>
              </w:rPr>
              <w:t>自动工況设定：</w:t>
            </w:r>
          </w:p>
          <w:p>
            <w:pPr>
              <w:rPr>
                <w:highlight w:val="none"/>
              </w:rPr>
            </w:pPr>
            <w:r>
              <w:rPr>
                <w:rFonts w:hint="eastAsia"/>
                <w:highlight w:val="none"/>
              </w:rPr>
              <w:t>电池数目设定(片数)</w:t>
            </w:r>
          </w:p>
          <w:p>
            <w:pPr>
              <w:rPr>
                <w:highlight w:val="none"/>
              </w:rPr>
            </w:pPr>
            <w:r>
              <w:rPr>
                <w:rFonts w:hint="eastAsia"/>
                <w:highlight w:val="none"/>
              </w:rPr>
              <w:t>反应面积大小设定</w:t>
            </w:r>
          </w:p>
          <w:p>
            <w:pPr>
              <w:rPr>
                <w:highlight w:val="none"/>
              </w:rPr>
            </w:pPr>
            <w:r>
              <w:rPr>
                <w:rFonts w:hint="eastAsia"/>
                <w:highlight w:val="none"/>
              </w:rPr>
              <w:t>低电压保护设定(使用者自义)</w:t>
            </w:r>
          </w:p>
          <w:p>
            <w:pPr>
              <w:rPr>
                <w:highlight w:val="none"/>
              </w:rPr>
            </w:pPr>
            <w:r>
              <w:rPr>
                <w:rFonts w:hint="eastAsia"/>
                <w:highlight w:val="none"/>
              </w:rPr>
              <w:t>燃料设定功能:</w:t>
            </w:r>
          </w:p>
          <w:p>
            <w:pPr>
              <w:rPr>
                <w:highlight w:val="none"/>
              </w:rPr>
            </w:pPr>
            <w:r>
              <w:rPr>
                <w:rFonts w:hint="eastAsia"/>
                <w:highlight w:val="none"/>
              </w:rPr>
              <w:t>燃料气体流量设定</w:t>
            </w:r>
          </w:p>
          <w:p>
            <w:pPr>
              <w:rPr>
                <w:highlight w:val="none"/>
              </w:rPr>
            </w:pPr>
            <w:r>
              <w:rPr>
                <w:rFonts w:hint="eastAsia"/>
                <w:highlight w:val="none"/>
              </w:rPr>
              <w:t>阴阳极化学计量比设定</w:t>
            </w:r>
          </w:p>
          <w:p>
            <w:pPr>
              <w:rPr>
                <w:highlight w:val="none"/>
              </w:rPr>
            </w:pPr>
            <w:r>
              <w:rPr>
                <w:rFonts w:hint="eastAsia"/>
                <w:highlight w:val="none"/>
              </w:rPr>
              <w:t>资料擷取速度：0.2秒/点</w:t>
            </w:r>
          </w:p>
          <w:p>
            <w:pPr>
              <w:rPr>
                <w:highlight w:val="none"/>
              </w:rPr>
            </w:pPr>
            <w:r>
              <w:rPr>
                <w:rFonts w:hint="eastAsia"/>
                <w:highlight w:val="none"/>
              </w:rPr>
              <w:t>人机介面更新速度：1秒</w:t>
            </w:r>
          </w:p>
          <w:p>
            <w:pPr>
              <w:rPr>
                <w:highlight w:val="none"/>
              </w:rPr>
            </w:pPr>
            <w:r>
              <w:rPr>
                <w:rFonts w:hint="eastAsia"/>
                <w:highlight w:val="none"/>
              </w:rPr>
              <w:t>资料格式：Excel格式 (.csv)</w:t>
            </w:r>
          </w:p>
          <w:p>
            <w:pPr>
              <w:rPr>
                <w:highlight w:val="none"/>
              </w:rPr>
            </w:pPr>
            <w:r>
              <w:rPr>
                <w:rFonts w:hint="eastAsia"/>
                <w:highlight w:val="none"/>
              </w:rPr>
              <w:t>应用系统：PC Windows系统</w:t>
            </w:r>
          </w:p>
          <w:p>
            <w:pPr>
              <w:rPr>
                <w:highlight w:val="none"/>
              </w:rPr>
            </w:pPr>
            <w:r>
              <w:rPr>
                <w:rFonts w:hint="eastAsia"/>
                <w:highlight w:val="none"/>
              </w:rPr>
              <w:t>软体可远端连线进行修正更改或操作教学</w:t>
            </w:r>
          </w:p>
          <w:p>
            <w:pPr>
              <w:rPr>
                <w:highlight w:val="none"/>
              </w:rPr>
            </w:pPr>
            <w:r>
              <w:rPr>
                <w:rFonts w:hint="eastAsia"/>
                <w:highlight w:val="none"/>
              </w:rPr>
              <w:t>全体显示语言：英文</w:t>
            </w:r>
          </w:p>
          <w:p>
            <w:pPr>
              <w:rPr>
                <w:highlight w:val="none"/>
              </w:rPr>
            </w:pPr>
            <w:r>
              <w:rPr>
                <w:rFonts w:hint="eastAsia"/>
                <w:highlight w:val="none"/>
              </w:rPr>
              <w:t>搭配电脑一组</w:t>
            </w:r>
          </w:p>
        </w:tc>
      </w:tr>
    </w:tbl>
    <w:p>
      <w:pPr>
        <w:spacing w:line="300" w:lineRule="exact"/>
        <w:rPr>
          <w:b/>
          <w:bCs/>
          <w:sz w:val="28"/>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宋体" w:hAnsi="宋体"/>
          <w:b/>
          <w:bCs/>
          <w:color w:val="0000FF"/>
          <w:szCs w:val="21"/>
        </w:rPr>
        <w:t>★项的参数为必须技术参数。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sz w:val="24"/>
        </w:rPr>
      </w:pPr>
      <w:r>
        <w:rPr>
          <w:rFonts w:hint="eastAsia"/>
          <w:sz w:val="24"/>
        </w:rPr>
        <w:t>从中华人民共和国境内提供的货物：</w:t>
      </w:r>
      <w:r>
        <w:rPr>
          <w:rFonts w:hint="eastAsia"/>
          <w:sz w:val="24"/>
          <w:highlight w:val="none"/>
        </w:rPr>
        <w:t>合同签订且设备到达用户指定地点安装、调试验收合格后支付尾款90%，10 %质保金</w:t>
      </w:r>
      <w:r>
        <w:rPr>
          <w:rFonts w:hint="eastAsia"/>
          <w:sz w:val="24"/>
        </w:rPr>
        <w:t>。</w:t>
      </w:r>
    </w:p>
    <w:p>
      <w:pPr>
        <w:tabs>
          <w:tab w:val="left" w:pos="0"/>
          <w:tab w:val="left" w:pos="540"/>
        </w:tabs>
        <w:spacing w:line="360" w:lineRule="auto"/>
        <w:ind w:firstLine="480" w:firstLineChars="200"/>
        <w:rPr>
          <w:rFonts w:ascii="Arial" w:hAnsi="宋体" w:cs="Arial"/>
          <w:color w:val="auto"/>
          <w:sz w:val="24"/>
          <w:szCs w:val="21"/>
        </w:rPr>
      </w:pPr>
      <w:r>
        <w:rPr>
          <w:rFonts w:hint="eastAsia"/>
          <w:color w:val="auto"/>
          <w:sz w:val="24"/>
        </w:rPr>
        <w:t>从中华人民共和国境外提供的货物：100%不可撤销信用证，30%见单即</w:t>
      </w:r>
      <w:commentRangeStart w:id="0"/>
      <w:r>
        <w:rPr>
          <w:rFonts w:hint="eastAsia"/>
          <w:color w:val="auto"/>
          <w:sz w:val="24"/>
        </w:rPr>
        <w:t>付</w:t>
      </w:r>
      <w:commentRangeEnd w:id="0"/>
      <w:r>
        <w:rPr>
          <w:rStyle w:val="16"/>
          <w:color w:val="auto"/>
        </w:rPr>
        <w:commentReference w:id="0"/>
      </w:r>
      <w:r>
        <w:rPr>
          <w:rFonts w:hint="eastAsia"/>
          <w:color w:val="auto"/>
          <w:sz w:val="24"/>
        </w:rPr>
        <w:t>，70%验收合格后付。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4"/>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4"/>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ind w:firstLine="2570" w:firstLineChars="800"/>
        <w:rPr>
          <w:b/>
          <w:bCs/>
          <w:color w:val="000000"/>
          <w:sz w:val="32"/>
          <w:szCs w:val="32"/>
        </w:rPr>
      </w:pPr>
    </w:p>
    <w:p>
      <w:pPr>
        <w:rPr>
          <w:b/>
          <w:bCs/>
          <w:color w:val="000000"/>
          <w:sz w:val="32"/>
          <w:szCs w:val="32"/>
        </w:rPr>
      </w:pPr>
      <w:bookmarkStart w:id="13" w:name="_GoBack"/>
      <w:bookmarkEnd w:id="13"/>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3"/>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3"/>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3"/>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3"/>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3"/>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3"/>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3"/>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3"/>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3"/>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3"/>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3"/>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3"/>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p>
    <w:p>
      <w:pPr>
        <w:spacing w:line="360" w:lineRule="auto"/>
        <w:rPr>
          <w:b/>
          <w:bCs/>
          <w:color w:val="000000"/>
          <w:sz w:val="32"/>
          <w:szCs w:val="32"/>
        </w:rPr>
      </w:pPr>
    </w:p>
    <w:p>
      <w:pPr>
        <w:spacing w:line="360" w:lineRule="auto"/>
        <w:ind w:firstLine="2249" w:firstLineChars="700"/>
        <w:rPr>
          <w:b/>
          <w:bCs/>
          <w:color w:val="000000"/>
          <w:sz w:val="32"/>
          <w:szCs w:val="32"/>
        </w:rPr>
      </w:pPr>
    </w:p>
    <w:p>
      <w:pPr>
        <w:spacing w:line="360" w:lineRule="auto"/>
        <w:ind w:firstLine="2249" w:firstLineChars="7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2"/>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5"/>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5"/>
        <w:tabs>
          <w:tab w:val="left" w:pos="0"/>
          <w:tab w:val="left" w:pos="735"/>
        </w:tabs>
        <w:spacing w:line="360" w:lineRule="auto"/>
        <w:ind w:firstLine="365" w:firstLineChars="174"/>
        <w:rPr>
          <w:u w:val="single"/>
        </w:rPr>
      </w:pPr>
      <w:r>
        <w:rPr>
          <w:rFonts w:hint="eastAsia"/>
          <w:u w:val="single"/>
        </w:rPr>
        <w:t xml:space="preserve">合同包：           </w:t>
      </w: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5"/>
        <w:tabs>
          <w:tab w:val="left" w:pos="0"/>
          <w:tab w:val="left" w:pos="735"/>
        </w:tabs>
        <w:spacing w:line="360" w:lineRule="auto"/>
        <w:rPr>
          <w:rFonts w:hAnsi="宋体"/>
        </w:rPr>
      </w:pPr>
    </w:p>
    <w:p>
      <w:pPr>
        <w:pStyle w:val="5"/>
        <w:tabs>
          <w:tab w:val="left" w:pos="0"/>
          <w:tab w:val="left" w:pos="735"/>
        </w:tabs>
        <w:spacing w:line="360" w:lineRule="auto"/>
      </w:pPr>
    </w:p>
    <w:p>
      <w:pPr>
        <w:pStyle w:val="5"/>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5"/>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5"/>
        <w:tabs>
          <w:tab w:val="left" w:pos="0"/>
          <w:tab w:val="left" w:pos="735"/>
        </w:tabs>
        <w:spacing w:line="360" w:lineRule="auto"/>
        <w:rPr>
          <w:u w:val="single"/>
        </w:rPr>
      </w:pPr>
    </w:p>
    <w:p>
      <w:pPr>
        <w:pStyle w:val="4"/>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4"/>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4"/>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4"/>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4"/>
        <w:snapToGrid w:val="0"/>
        <w:spacing w:line="400" w:lineRule="exact"/>
        <w:ind w:firstLine="480" w:firstLineChars="200"/>
        <w:jc w:val="left"/>
        <w:rPr>
          <w:rFonts w:hAnsi="宋体"/>
          <w:sz w:val="24"/>
        </w:rPr>
      </w:pPr>
      <w:r>
        <w:rPr>
          <w:rFonts w:hint="eastAsia" w:hAnsi="宋体"/>
          <w:sz w:val="24"/>
        </w:rPr>
        <w:t xml:space="preserve">投标人名称：                               </w:t>
      </w:r>
    </w:p>
    <w:p>
      <w:pPr>
        <w:pStyle w:val="4"/>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4"/>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184550797"/>
      <w:bookmarkStart w:id="2" w:name="_Toc256416592"/>
      <w:bookmarkStart w:id="3" w:name="_Toc238290496"/>
      <w:bookmarkStart w:id="4" w:name="_Toc184176484"/>
      <w:r>
        <w:rPr>
          <w:rFonts w:hint="eastAsia"/>
          <w:sz w:val="24"/>
        </w:rPr>
        <w:t>附：被授权人身份证件</w:t>
      </w:r>
    </w:p>
    <w:p>
      <w:pPr>
        <w:pStyle w:val="27"/>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2"/>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8" w:hRule="atLeast"/>
        </w:trPr>
        <w:tc>
          <w:tcPr>
            <w:tcW w:w="4328" w:type="dxa"/>
            <w:vAlign w:val="center"/>
          </w:tcPr>
          <w:p>
            <w:pPr>
              <w:pStyle w:val="27"/>
              <w:rPr>
                <w:sz w:val="32"/>
              </w:rPr>
            </w:pPr>
            <w:bookmarkStart w:id="5" w:name="_Toc433037128"/>
            <w:bookmarkStart w:id="6" w:name="_Toc415124366"/>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7"/>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合同书</w:t>
      </w:r>
    </w:p>
    <w:tbl>
      <w:tblPr>
        <w:tblStyle w:val="12"/>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签订日期：      年     月     日</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ind w:firstLine="482" w:firstLineChars="200"/>
        <w:jc w:val="left"/>
        <w:rPr>
          <w:rFonts w:ascii="宋体" w:hAnsi="宋体" w:cs="宋体"/>
          <w:b/>
          <w:color w:val="FF0000"/>
          <w:kern w:val="0"/>
          <w:sz w:val="24"/>
        </w:rPr>
      </w:pPr>
      <w:r>
        <w:rPr>
          <w:rFonts w:hint="eastAsia" w:ascii="宋体" w:hAnsi="宋体" w:cs="宋体"/>
          <w:b/>
          <w:bCs/>
          <w:color w:val="000000"/>
          <w:kern w:val="0"/>
          <w:sz w:val="24"/>
        </w:rPr>
        <w:t>第一条 合同标的和合同价格</w:t>
      </w:r>
      <w:r>
        <w:rPr>
          <w:rFonts w:hint="eastAsia" w:ascii="宋体" w:hAnsi="宋体" w:cs="宋体"/>
          <w:b/>
          <w:color w:val="FF0000"/>
          <w:kern w:val="0"/>
          <w:sz w:val="24"/>
        </w:rPr>
        <w:t>（详细参数、质量要求见技术协议）</w:t>
      </w:r>
    </w:p>
    <w:tbl>
      <w:tblPr>
        <w:tblStyle w:val="12"/>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序号</w:t>
            </w:r>
          </w:p>
        </w:tc>
        <w:tc>
          <w:tcPr>
            <w:tcW w:w="1418" w:type="dxa"/>
            <w:vAlign w:val="center"/>
          </w:tcPr>
          <w:p>
            <w:pPr>
              <w:jc w:val="center"/>
              <w:rPr>
                <w:sz w:val="24"/>
              </w:rPr>
            </w:pPr>
            <w:r>
              <w:rPr>
                <w:rFonts w:hint="eastAsia"/>
                <w:sz w:val="24"/>
              </w:rPr>
              <w:t>货物名称</w:t>
            </w:r>
          </w:p>
        </w:tc>
        <w:tc>
          <w:tcPr>
            <w:tcW w:w="1275" w:type="dxa"/>
            <w:vAlign w:val="center"/>
          </w:tcPr>
          <w:p>
            <w:pPr>
              <w:jc w:val="center"/>
              <w:rPr>
                <w:sz w:val="24"/>
              </w:rPr>
            </w:pPr>
            <w:r>
              <w:rPr>
                <w:rFonts w:hint="eastAsia"/>
                <w:sz w:val="24"/>
              </w:rPr>
              <w:t>规格型号</w:t>
            </w:r>
          </w:p>
        </w:tc>
        <w:tc>
          <w:tcPr>
            <w:tcW w:w="851" w:type="dxa"/>
            <w:vAlign w:val="center"/>
          </w:tcPr>
          <w:p>
            <w:pPr>
              <w:jc w:val="center"/>
              <w:rPr>
                <w:sz w:val="24"/>
              </w:rPr>
            </w:pPr>
            <w:r>
              <w:rPr>
                <w:rFonts w:hint="eastAsia"/>
                <w:sz w:val="24"/>
              </w:rPr>
              <w:t>数量</w:t>
            </w:r>
          </w:p>
        </w:tc>
        <w:tc>
          <w:tcPr>
            <w:tcW w:w="850" w:type="dxa"/>
            <w:vAlign w:val="center"/>
          </w:tcPr>
          <w:p>
            <w:pPr>
              <w:jc w:val="center"/>
              <w:rPr>
                <w:sz w:val="24"/>
              </w:rPr>
            </w:pPr>
            <w:r>
              <w:rPr>
                <w:rFonts w:hint="eastAsia"/>
                <w:sz w:val="24"/>
              </w:rPr>
              <w:t>单位</w:t>
            </w:r>
          </w:p>
        </w:tc>
        <w:tc>
          <w:tcPr>
            <w:tcW w:w="993" w:type="dxa"/>
            <w:vAlign w:val="center"/>
          </w:tcPr>
          <w:p>
            <w:pPr>
              <w:jc w:val="center"/>
              <w:rPr>
                <w:sz w:val="24"/>
              </w:rPr>
            </w:pPr>
            <w:r>
              <w:rPr>
                <w:rFonts w:hint="eastAsia"/>
                <w:sz w:val="24"/>
              </w:rPr>
              <w:t>未税</w:t>
            </w:r>
          </w:p>
          <w:p>
            <w:pPr>
              <w:jc w:val="center"/>
              <w:rPr>
                <w:sz w:val="24"/>
              </w:rPr>
            </w:pPr>
            <w:r>
              <w:rPr>
                <w:rFonts w:hint="eastAsia"/>
                <w:sz w:val="24"/>
              </w:rPr>
              <w:t>单价</w:t>
            </w:r>
          </w:p>
        </w:tc>
        <w:tc>
          <w:tcPr>
            <w:tcW w:w="992" w:type="dxa"/>
            <w:vAlign w:val="center"/>
          </w:tcPr>
          <w:p>
            <w:pPr>
              <w:jc w:val="center"/>
              <w:rPr>
                <w:sz w:val="24"/>
              </w:rPr>
            </w:pPr>
            <w:r>
              <w:rPr>
                <w:rFonts w:hint="eastAsia"/>
                <w:sz w:val="24"/>
              </w:rPr>
              <w:t>含税</w:t>
            </w:r>
          </w:p>
          <w:p>
            <w:pPr>
              <w:jc w:val="center"/>
              <w:rPr>
                <w:sz w:val="24"/>
              </w:rPr>
            </w:pPr>
            <w:r>
              <w:rPr>
                <w:rFonts w:hint="eastAsia"/>
                <w:sz w:val="24"/>
              </w:rPr>
              <w:t>单价</w:t>
            </w:r>
          </w:p>
        </w:tc>
        <w:tc>
          <w:tcPr>
            <w:tcW w:w="992" w:type="dxa"/>
            <w:tcBorders>
              <w:right w:val="single" w:color="auto" w:sz="4" w:space="0"/>
            </w:tcBorders>
            <w:vAlign w:val="center"/>
          </w:tcPr>
          <w:p>
            <w:pPr>
              <w:jc w:val="center"/>
              <w:rPr>
                <w:sz w:val="24"/>
              </w:rPr>
            </w:pPr>
            <w:r>
              <w:rPr>
                <w:rFonts w:hint="eastAsia"/>
                <w:sz w:val="24"/>
              </w:rPr>
              <w:t>含税</w:t>
            </w:r>
          </w:p>
          <w:p>
            <w:pPr>
              <w:jc w:val="center"/>
              <w:rPr>
                <w:sz w:val="24"/>
              </w:rPr>
            </w:pPr>
            <w:r>
              <w:rPr>
                <w:rFonts w:hint="eastAsia"/>
                <w:sz w:val="24"/>
              </w:rPr>
              <w:t>总价</w:t>
            </w:r>
          </w:p>
        </w:tc>
        <w:tc>
          <w:tcPr>
            <w:tcW w:w="851" w:type="dxa"/>
            <w:tcBorders>
              <w:left w:val="single" w:color="auto" w:sz="4" w:space="0"/>
            </w:tcBorders>
            <w:vAlign w:val="center"/>
          </w:tcPr>
          <w:p>
            <w:pPr>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1</w:t>
            </w:r>
          </w:p>
        </w:tc>
        <w:tc>
          <w:tcPr>
            <w:tcW w:w="1418" w:type="dxa"/>
            <w:vAlign w:val="center"/>
          </w:tcPr>
          <w:p>
            <w:pPr>
              <w:jc w:val="center"/>
              <w:rPr>
                <w:sz w:val="24"/>
              </w:rPr>
            </w:pPr>
          </w:p>
        </w:tc>
        <w:tc>
          <w:tcPr>
            <w:tcW w:w="1275" w:type="dxa"/>
            <w:vAlign w:val="center"/>
          </w:tcPr>
          <w:p>
            <w:pPr>
              <w:jc w:val="center"/>
              <w:rPr>
                <w:sz w:val="24"/>
              </w:rPr>
            </w:pPr>
          </w:p>
        </w:tc>
        <w:tc>
          <w:tcPr>
            <w:tcW w:w="851"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992" w:type="dxa"/>
            <w:tcBorders>
              <w:right w:val="single" w:color="auto" w:sz="4" w:space="0"/>
            </w:tcBorders>
            <w:vAlign w:val="center"/>
          </w:tcPr>
          <w:p>
            <w:pPr>
              <w:jc w:val="center"/>
              <w:rPr>
                <w:sz w:val="24"/>
              </w:rPr>
            </w:pPr>
          </w:p>
        </w:tc>
        <w:tc>
          <w:tcPr>
            <w:tcW w:w="851" w:type="dxa"/>
            <w:tcBorders>
              <w:left w:val="single" w:color="auto"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2</w:t>
            </w:r>
          </w:p>
        </w:tc>
        <w:tc>
          <w:tcPr>
            <w:tcW w:w="1418" w:type="dxa"/>
            <w:vAlign w:val="center"/>
          </w:tcPr>
          <w:p>
            <w:pPr>
              <w:jc w:val="center"/>
              <w:rPr>
                <w:sz w:val="24"/>
              </w:rPr>
            </w:pPr>
          </w:p>
        </w:tc>
        <w:tc>
          <w:tcPr>
            <w:tcW w:w="1275" w:type="dxa"/>
            <w:vAlign w:val="center"/>
          </w:tcPr>
          <w:p>
            <w:pPr>
              <w:jc w:val="center"/>
              <w:rPr>
                <w:sz w:val="24"/>
              </w:rPr>
            </w:pPr>
          </w:p>
        </w:tc>
        <w:tc>
          <w:tcPr>
            <w:tcW w:w="851"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992" w:type="dxa"/>
            <w:tcBorders>
              <w:right w:val="single" w:color="auto" w:sz="4" w:space="0"/>
            </w:tcBorders>
            <w:vAlign w:val="center"/>
          </w:tcPr>
          <w:p>
            <w:pPr>
              <w:jc w:val="center"/>
              <w:rPr>
                <w:sz w:val="24"/>
              </w:rPr>
            </w:pPr>
          </w:p>
        </w:tc>
        <w:tc>
          <w:tcPr>
            <w:tcW w:w="851" w:type="dxa"/>
            <w:tcBorders>
              <w:left w:val="single" w:color="auto"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pPr>
              <w:jc w:val="center"/>
              <w:rPr>
                <w:sz w:val="24"/>
              </w:rPr>
            </w:pPr>
            <w:r>
              <w:rPr>
                <w:rFonts w:hint="eastAsia"/>
                <w:sz w:val="24"/>
              </w:rPr>
              <w:t>…</w:t>
            </w:r>
          </w:p>
        </w:tc>
        <w:tc>
          <w:tcPr>
            <w:tcW w:w="1418" w:type="dxa"/>
            <w:vAlign w:val="center"/>
          </w:tcPr>
          <w:p>
            <w:pPr>
              <w:jc w:val="center"/>
              <w:rPr>
                <w:sz w:val="24"/>
              </w:rPr>
            </w:pPr>
          </w:p>
        </w:tc>
        <w:tc>
          <w:tcPr>
            <w:tcW w:w="1275" w:type="dxa"/>
            <w:vAlign w:val="center"/>
          </w:tcPr>
          <w:p>
            <w:pPr>
              <w:jc w:val="center"/>
              <w:rPr>
                <w:sz w:val="24"/>
              </w:rPr>
            </w:pPr>
          </w:p>
        </w:tc>
        <w:tc>
          <w:tcPr>
            <w:tcW w:w="851"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992" w:type="dxa"/>
            <w:tcBorders>
              <w:right w:val="single" w:color="auto" w:sz="4" w:space="0"/>
            </w:tcBorders>
            <w:vAlign w:val="center"/>
          </w:tcPr>
          <w:p>
            <w:pPr>
              <w:jc w:val="center"/>
              <w:rPr>
                <w:sz w:val="24"/>
              </w:rPr>
            </w:pPr>
          </w:p>
        </w:tc>
        <w:tc>
          <w:tcPr>
            <w:tcW w:w="851" w:type="dxa"/>
            <w:tcBorders>
              <w:left w:val="single" w:color="auto"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039" w:type="dxa"/>
            <w:gridSpan w:val="9"/>
            <w:vAlign w:val="center"/>
          </w:tcPr>
          <w:p>
            <w:pPr>
              <w:tabs>
                <w:tab w:val="left" w:pos="1059"/>
              </w:tabs>
              <w:jc w:val="left"/>
              <w:rPr>
                <w:sz w:val="24"/>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第二条 质量与保修</w:t>
      </w:r>
    </w:p>
    <w:p>
      <w:pPr>
        <w:adjustRightInd w:val="0"/>
        <w:spacing w:line="360" w:lineRule="auto"/>
        <w:ind w:firstLine="480" w:firstLineChars="200"/>
        <w:rPr>
          <w:rFonts w:ascii="宋体" w:hAnsi="宋体"/>
          <w:bCs/>
          <w:sz w:val="24"/>
        </w:rPr>
      </w:pPr>
      <w:r>
        <w:rPr>
          <w:rFonts w:hint="eastAsia" w:ascii="宋体" w:hAnsi="宋体"/>
          <w:bCs/>
          <w:sz w:val="24"/>
        </w:rPr>
        <w:t>2.1、质量保证：乙方对产品质量实行三包，所有货物质保期为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年。在质保期内，乙方需定期派人上门检查，质保期内所出现的产品质量问题，乙方应无偿进行免费的维修及免费更换零部件。</w:t>
      </w:r>
      <w:r>
        <w:rPr>
          <w:rFonts w:ascii="宋体" w:hAnsi="宋体"/>
          <w:bCs/>
          <w:sz w:val="24"/>
        </w:rPr>
        <w:t xml:space="preserve"> </w:t>
      </w:r>
    </w:p>
    <w:p>
      <w:pPr>
        <w:adjustRightInd w:val="0"/>
        <w:spacing w:line="360" w:lineRule="auto"/>
        <w:ind w:firstLine="480" w:firstLineChars="200"/>
        <w:rPr>
          <w:rFonts w:ascii="宋体" w:hAnsi="宋体"/>
          <w:bCs/>
          <w:sz w:val="24"/>
        </w:rPr>
      </w:pPr>
      <w:r>
        <w:rPr>
          <w:rFonts w:hint="eastAsia" w:ascii="宋体" w:hAnsi="宋体"/>
          <w:bCs/>
          <w:sz w:val="24"/>
        </w:rPr>
        <w:t>2.2、质保期自□每批货物通过甲方验收之日 □全部货物通过甲方验收之日起计算（货物依法标注有效期的，其有效期不得少于前述质保期；若与国家相关规定不一致的，按较高要求执行）；如乙方公开对外承诺的质保期高于国家规定和甲方要求的质保期，以乙方承诺的质保期时间为准。</w:t>
      </w:r>
    </w:p>
    <w:p>
      <w:pPr>
        <w:adjustRightInd w:val="0"/>
        <w:spacing w:line="360" w:lineRule="auto"/>
        <w:ind w:firstLine="480" w:firstLineChars="200"/>
        <w:rPr>
          <w:rFonts w:ascii="宋体" w:hAnsi="宋体"/>
          <w:bCs/>
          <w:sz w:val="24"/>
        </w:rPr>
      </w:pPr>
      <w:r>
        <w:rPr>
          <w:rFonts w:hint="eastAsia" w:ascii="宋体" w:hAnsi="宋体"/>
          <w:bCs/>
          <w:sz w:val="24"/>
        </w:rPr>
        <w:t>2.3、因货物的质量问题发生争议的，应当申请国家认可的质量检测机构对货物质量进行鉴定。货物符合标准的，鉴定费由甲方承担；货物不符合质量标准的，鉴定费由乙方承担。</w:t>
      </w:r>
    </w:p>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第三条  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3.1 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3.2 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第四条  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ind w:firstLine="482" w:firstLineChars="200"/>
        <w:jc w:val="left"/>
        <w:rPr>
          <w:rFonts w:ascii="宋体" w:hAnsi="宋体" w:cs="宋体"/>
          <w:b/>
          <w:color w:val="FF0000"/>
          <w:kern w:val="0"/>
          <w:sz w:val="24"/>
        </w:rPr>
      </w:pPr>
      <w:r>
        <w:rPr>
          <w:rFonts w:hint="eastAsia" w:ascii="宋体" w:hAnsi="宋体" w:cs="宋体"/>
          <w:b/>
          <w:bCs/>
          <w:color w:val="000000"/>
          <w:kern w:val="0"/>
          <w:sz w:val="24"/>
        </w:rPr>
        <w:t>第五条 交货及验收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b/>
          <w:color w:val="FF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spacing w:line="360" w:lineRule="auto"/>
        <w:ind w:firstLine="480" w:firstLineChars="200"/>
        <w:jc w:val="left"/>
        <w:rPr>
          <w:rFonts w:ascii="宋体" w:hAnsi="宋体"/>
          <w:sz w:val="24"/>
        </w:rPr>
      </w:pPr>
      <w:r>
        <w:rPr>
          <w:rFonts w:hint="eastAsia" w:ascii="宋体" w:hAnsi="宋体"/>
          <w:sz w:val="24"/>
        </w:rPr>
        <w:t xml:space="preserve">4.1 </w:t>
      </w:r>
      <w:r>
        <w:rPr>
          <w:rFonts w:ascii="宋体" w:hAnsi="宋体"/>
          <w:sz w:val="24"/>
        </w:rPr>
        <w:t>乙方交付的货物应当完全符合本合同所</w:t>
      </w:r>
      <w:r>
        <w:rPr>
          <w:rFonts w:hint="eastAsia" w:ascii="宋体" w:hAnsi="宋体"/>
          <w:sz w:val="24"/>
        </w:rPr>
        <w:t>约定</w:t>
      </w:r>
      <w:r>
        <w:rPr>
          <w:rFonts w:ascii="宋体" w:hAnsi="宋体"/>
          <w:sz w:val="24"/>
        </w:rPr>
        <w:t>的货物、数量和规格要求。乙方应将货物的装箱清单、用户手册、原厂保修卡、随机资料及配件、随机工具等一并交付甲方</w:t>
      </w:r>
      <w:r>
        <w:rPr>
          <w:rFonts w:hint="eastAsia" w:ascii="宋体" w:hAnsi="宋体"/>
          <w:sz w:val="24"/>
        </w:rPr>
        <w:t>。若</w:t>
      </w:r>
      <w:r>
        <w:rPr>
          <w:rFonts w:ascii="宋体" w:hAnsi="宋体"/>
          <w:sz w:val="24"/>
        </w:rPr>
        <w:t>乙方</w:t>
      </w:r>
      <w:r>
        <w:rPr>
          <w:rFonts w:hint="eastAsia" w:ascii="宋体" w:hAnsi="宋体"/>
          <w:sz w:val="24"/>
        </w:rPr>
        <w:t>未</w:t>
      </w:r>
      <w:r>
        <w:rPr>
          <w:rFonts w:ascii="宋体" w:hAnsi="宋体"/>
          <w:sz w:val="24"/>
        </w:rPr>
        <w:t>能完整交付货物及本款规定的单证和工具的，视为未按合同约定交货，乙方</w:t>
      </w:r>
      <w:r>
        <w:rPr>
          <w:rFonts w:hint="eastAsia" w:ascii="宋体" w:hAnsi="宋体"/>
          <w:sz w:val="24"/>
        </w:rPr>
        <w:t>应</w:t>
      </w:r>
      <w:r>
        <w:rPr>
          <w:rFonts w:ascii="宋体" w:hAnsi="宋体"/>
          <w:sz w:val="24"/>
        </w:rPr>
        <w:t>补齐，</w:t>
      </w:r>
      <w:r>
        <w:rPr>
          <w:rFonts w:hint="eastAsia" w:ascii="宋体" w:hAnsi="宋体"/>
          <w:sz w:val="24"/>
        </w:rPr>
        <w:t>若因此</w:t>
      </w:r>
      <w:r>
        <w:rPr>
          <w:rFonts w:ascii="宋体" w:hAnsi="宋体"/>
          <w:sz w:val="24"/>
        </w:rPr>
        <w:t>导致逾期交付的，由乙方承担相关的违约责任。</w:t>
      </w:r>
    </w:p>
    <w:p>
      <w:pPr>
        <w:spacing w:line="360" w:lineRule="auto"/>
        <w:ind w:firstLine="480" w:firstLineChars="200"/>
        <w:jc w:val="left"/>
        <w:rPr>
          <w:rFonts w:ascii="宋体" w:hAnsi="宋体"/>
          <w:sz w:val="24"/>
        </w:rPr>
      </w:pPr>
      <w:r>
        <w:rPr>
          <w:rFonts w:hint="eastAsia" w:ascii="宋体" w:hAnsi="宋体"/>
          <w:sz w:val="24"/>
        </w:rPr>
        <w:t>4.2 乙方在本合同签订后</w:t>
      </w:r>
      <w:r>
        <w:rPr>
          <w:rFonts w:hint="eastAsia" w:ascii="宋体" w:hAnsi="宋体"/>
          <w:sz w:val="24"/>
          <w:u w:val="single"/>
        </w:rPr>
        <w:t xml:space="preserve">   </w:t>
      </w:r>
      <w:r>
        <w:rPr>
          <w:rFonts w:hint="eastAsia" w:ascii="宋体" w:hAnsi="宋体"/>
          <w:sz w:val="24"/>
        </w:rPr>
        <w:t>个工作日内将甲方采购的货物运送至</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，并免费进行安装、调试及培训，直到交付使用。若由甲方原因造成货物交付推迟，由双方重新商定交货时间，乙方需自行承担仓储费及因延迟交货所产生的全部费用。</w:t>
      </w:r>
    </w:p>
    <w:p>
      <w:pPr>
        <w:spacing w:line="360" w:lineRule="auto"/>
        <w:ind w:firstLine="480" w:firstLineChars="200"/>
        <w:jc w:val="left"/>
        <w:rPr>
          <w:rFonts w:ascii="宋体" w:hAnsi="宋体"/>
          <w:sz w:val="24"/>
        </w:rPr>
      </w:pPr>
      <w:r>
        <w:rPr>
          <w:rFonts w:hint="eastAsia" w:ascii="宋体" w:hAnsi="宋体"/>
          <w:sz w:val="24"/>
        </w:rPr>
        <w:t>4.3 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pPr>
        <w:widowControl/>
        <w:shd w:val="clear" w:color="auto" w:fill="FFFFFF"/>
        <w:spacing w:line="440" w:lineRule="atLeast"/>
        <w:ind w:firstLine="480" w:firstLineChars="200"/>
        <w:jc w:val="left"/>
        <w:rPr>
          <w:rFonts w:ascii="宋体" w:hAnsi="宋体" w:cs="宋体"/>
          <w:b/>
          <w:color w:val="FF0000"/>
          <w:kern w:val="0"/>
          <w:sz w:val="24"/>
        </w:rPr>
      </w:pPr>
      <w:r>
        <w:rPr>
          <w:rFonts w:hint="eastAsia" w:ascii="宋体" w:hAnsi="宋体"/>
          <w:sz w:val="24"/>
        </w:rPr>
        <w:t>4.4 甲方应当在到货之后（如有安装则在安装结束之后）对货物进行验收。经甲方验收后，甲方指定的负责人：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）在货物验收单上签字，则视为验收合格；</w:t>
      </w:r>
      <w:r>
        <w:rPr>
          <w:rFonts w:ascii="宋体" w:hAnsi="宋体"/>
          <w:sz w:val="24"/>
        </w:rPr>
        <w:t>乙方提供的货物不符合本合同约定</w:t>
      </w:r>
      <w:r>
        <w:rPr>
          <w:rFonts w:hint="eastAsia" w:ascii="宋体" w:hAnsi="宋体"/>
          <w:sz w:val="24"/>
        </w:rPr>
        <w:t>，</w:t>
      </w:r>
      <w:r>
        <w:rPr>
          <w:rFonts w:ascii="宋体" w:hAnsi="宋体"/>
          <w:sz w:val="24"/>
        </w:rPr>
        <w:t>甲方有权不予验收</w:t>
      </w:r>
      <w:r>
        <w:rPr>
          <w:rFonts w:hint="eastAsia" w:ascii="宋体" w:hAnsi="宋体"/>
          <w:sz w:val="24"/>
        </w:rPr>
        <w:t>，</w:t>
      </w:r>
      <w:r>
        <w:rPr>
          <w:rFonts w:ascii="宋体" w:hAnsi="宋体"/>
          <w:sz w:val="24"/>
        </w:rPr>
        <w:t>经甲方提出后</w:t>
      </w:r>
      <w:r>
        <w:rPr>
          <w:rFonts w:hint="eastAsia" w:ascii="宋体" w:hAnsi="宋体"/>
          <w:sz w:val="24"/>
        </w:rPr>
        <w:t>5个工作日内仍未按要求提供的，甲方有权解除合同并要求乙方赔偿损失。</w:t>
      </w:r>
    </w:p>
    <w:p>
      <w:pPr>
        <w:widowControl/>
        <w:shd w:val="clear" w:color="auto" w:fill="FFFFFF"/>
        <w:spacing w:line="440" w:lineRule="atLeas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第六条 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6.1货物交货付款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w:t>
      </w:r>
      <w:r>
        <w:rPr>
          <w:rFonts w:hint="eastAsia"/>
          <w:color w:val="000000"/>
          <w:sz w:val="24"/>
          <w:u w:val="single"/>
        </w:rPr>
        <w:t xml:space="preserve">    </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 w:val="24"/>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ind w:firstLine="361" w:firstLineChars="150"/>
        <w:jc w:val="left"/>
        <w:rPr>
          <w:rFonts w:ascii="宋体" w:hAnsi="宋体"/>
          <w:b/>
          <w:sz w:val="24"/>
        </w:rPr>
      </w:pPr>
      <w:r>
        <w:rPr>
          <w:rFonts w:hint="eastAsia" w:ascii="宋体" w:hAnsi="宋体" w:cs="宋体"/>
          <w:b/>
          <w:bCs/>
          <w:color w:val="000000"/>
          <w:kern w:val="0"/>
          <w:sz w:val="24"/>
        </w:rPr>
        <w:t>第七条</w:t>
      </w:r>
      <w:r>
        <w:rPr>
          <w:rFonts w:hint="eastAsia" w:ascii="宋体" w:hAnsi="宋体" w:cs="宋体"/>
          <w:color w:val="000000"/>
          <w:kern w:val="0"/>
          <w:sz w:val="24"/>
        </w:rPr>
        <w:t xml:space="preserve"> </w:t>
      </w:r>
      <w:r>
        <w:rPr>
          <w:rFonts w:hint="eastAsia" w:ascii="宋体" w:hAnsi="宋体"/>
          <w:b/>
          <w:sz w:val="24"/>
        </w:rPr>
        <w:t>伴随服务和售后服务</w:t>
      </w:r>
      <w:r>
        <w:rPr>
          <w:rFonts w:hint="eastAsia" w:ascii="宋体" w:hAnsi="宋体" w:cs="宋体"/>
          <w:b/>
          <w:color w:val="FF0000"/>
          <w:kern w:val="0"/>
          <w:sz w:val="24"/>
        </w:rPr>
        <w:t>(按投标文件填写)</w:t>
      </w:r>
    </w:p>
    <w:p>
      <w:pPr>
        <w:adjustRightInd w:val="0"/>
        <w:spacing w:line="360" w:lineRule="auto"/>
        <w:ind w:firstLine="480" w:firstLineChars="200"/>
        <w:rPr>
          <w:rFonts w:ascii="宋体" w:hAnsi="宋体"/>
          <w:bCs/>
          <w:sz w:val="24"/>
        </w:rPr>
      </w:pPr>
      <w:r>
        <w:rPr>
          <w:rFonts w:hint="eastAsia" w:ascii="宋体" w:hAnsi="宋体"/>
          <w:bCs/>
          <w:sz w:val="24"/>
        </w:rPr>
        <w:t>7.1 乙方应按照国家</w:t>
      </w:r>
      <w:r>
        <w:rPr>
          <w:rFonts w:ascii="宋体" w:hAnsi="宋体"/>
          <w:bCs/>
          <w:sz w:val="24"/>
        </w:rPr>
        <w:t>有关法律法规和“三包”规定提供伴随服务与售后服务</w:t>
      </w:r>
      <w:r>
        <w:rPr>
          <w:rFonts w:hint="eastAsia" w:ascii="宋体" w:hAnsi="宋体"/>
          <w:bCs/>
          <w:sz w:val="24"/>
        </w:rPr>
        <w:t>，在产品使用过程中，乙方对甲方依照本合同提出的保修等要求，应在2</w:t>
      </w:r>
      <w:r>
        <w:rPr>
          <w:rFonts w:ascii="宋体" w:hAnsi="宋体"/>
          <w:bCs/>
          <w:sz w:val="24"/>
        </w:rPr>
        <w:t>4</w:t>
      </w:r>
      <w:r>
        <w:rPr>
          <w:rFonts w:hint="eastAsia" w:ascii="宋体" w:hAnsi="宋体"/>
          <w:bCs/>
          <w:sz w:val="24"/>
        </w:rPr>
        <w:t>小时内响应，并在3日内维修完毕，若遇重大故障可延迟到1</w:t>
      </w:r>
      <w:r>
        <w:rPr>
          <w:rFonts w:ascii="宋体" w:hAnsi="宋体"/>
          <w:bCs/>
          <w:sz w:val="24"/>
        </w:rPr>
        <w:t>5</w:t>
      </w:r>
      <w:r>
        <w:rPr>
          <w:rFonts w:hint="eastAsia" w:ascii="宋体" w:hAnsi="宋体"/>
          <w:bCs/>
          <w:sz w:val="24"/>
        </w:rPr>
        <w:t>个工作日内维修完毕，若无法维修的，乙方应免费进行更换。</w:t>
      </w:r>
    </w:p>
    <w:p>
      <w:pPr>
        <w:adjustRightInd w:val="0"/>
        <w:spacing w:line="360" w:lineRule="auto"/>
        <w:ind w:firstLine="480" w:firstLineChars="200"/>
        <w:rPr>
          <w:rFonts w:ascii="宋体" w:hAnsi="宋体"/>
          <w:bCs/>
          <w:sz w:val="24"/>
        </w:rPr>
      </w:pPr>
      <w:r>
        <w:rPr>
          <w:rFonts w:hint="eastAsia" w:ascii="宋体" w:hAnsi="宋体"/>
          <w:bCs/>
          <w:sz w:val="24"/>
        </w:rPr>
        <w:t>7.2 若乙方怠于履行本合同项下的保修服务，则甲方有权自行或委托第三方处理，届时所产生的所有费用由乙方承担，甲方有权选择从应向乙方支付的费用或履约保证金或质量保证金中扣减前述费用，不足部分甲方有权要求乙方赔偿。</w:t>
      </w:r>
    </w:p>
    <w:p>
      <w:pPr>
        <w:adjustRightInd w:val="0"/>
        <w:spacing w:line="360" w:lineRule="auto"/>
        <w:ind w:firstLine="480" w:firstLineChars="200"/>
        <w:rPr>
          <w:rFonts w:ascii="宋体" w:hAnsi="宋体"/>
          <w:bCs/>
          <w:sz w:val="24"/>
        </w:rPr>
      </w:pPr>
      <w:r>
        <w:rPr>
          <w:rFonts w:hint="eastAsia" w:ascii="宋体" w:hAnsi="宋体"/>
          <w:bCs/>
          <w:sz w:val="24"/>
        </w:rPr>
        <w:t>7.3 乙方承诺对其所提供的产品提供终身维修服务，质保期后维修仅收取零部件费用。</w:t>
      </w:r>
    </w:p>
    <w:p>
      <w:pPr>
        <w:widowControl/>
        <w:shd w:val="clear" w:color="auto" w:fill="FFFFFF"/>
        <w:spacing w:line="440" w:lineRule="atLeast"/>
        <w:ind w:firstLine="480" w:firstLineChars="200"/>
        <w:jc w:val="left"/>
        <w:rPr>
          <w:rFonts w:ascii="宋体" w:hAnsi="宋体" w:cs="宋体"/>
          <w:b/>
          <w:color w:val="FF0000"/>
          <w:kern w:val="0"/>
          <w:sz w:val="24"/>
        </w:rPr>
      </w:pPr>
      <w:r>
        <w:rPr>
          <w:rFonts w:hint="eastAsia" w:ascii="宋体" w:hAnsi="宋体"/>
          <w:bCs/>
          <w:sz w:val="24"/>
        </w:rPr>
        <w:t>7.4 质保期后，甲方向乙方购买本合同采购货物的配套配件时，乙方收取的费用应不高于同时期的市场价。</w:t>
      </w:r>
    </w:p>
    <w:p>
      <w:pPr>
        <w:adjustRightInd w:val="0"/>
        <w:spacing w:line="360" w:lineRule="auto"/>
        <w:ind w:firstLine="482" w:firstLineChars="200"/>
        <w:rPr>
          <w:rFonts w:ascii="宋体" w:hAnsi="宋体"/>
          <w:b/>
          <w:bCs/>
          <w:sz w:val="24"/>
        </w:rPr>
      </w:pPr>
      <w:r>
        <w:rPr>
          <w:rFonts w:hint="eastAsia" w:ascii="宋体" w:hAnsi="宋体" w:cs="宋体"/>
          <w:b/>
          <w:bCs/>
          <w:color w:val="000000"/>
          <w:kern w:val="0"/>
          <w:sz w:val="24"/>
        </w:rPr>
        <w:t>第八条</w:t>
      </w:r>
      <w:r>
        <w:rPr>
          <w:rFonts w:hint="eastAsia" w:ascii="宋体" w:hAnsi="宋体"/>
          <w:b/>
          <w:bCs/>
          <w:sz w:val="24"/>
        </w:rPr>
        <w:t xml:space="preserve"> 违约责任</w:t>
      </w:r>
    </w:p>
    <w:p>
      <w:pPr>
        <w:adjustRightInd w:val="0"/>
        <w:spacing w:line="360" w:lineRule="auto"/>
        <w:ind w:firstLine="480" w:firstLineChars="200"/>
        <w:rPr>
          <w:rFonts w:ascii="宋体" w:hAnsi="宋体"/>
          <w:bCs/>
          <w:sz w:val="24"/>
        </w:rPr>
      </w:pPr>
      <w:r>
        <w:rPr>
          <w:rFonts w:hint="eastAsia" w:ascii="宋体" w:hAnsi="宋体"/>
          <w:bCs/>
          <w:sz w:val="24"/>
        </w:rPr>
        <w:t xml:space="preserve">8.1 </w:t>
      </w:r>
      <w:r>
        <w:rPr>
          <w:rFonts w:ascii="宋体" w:hAnsi="宋体"/>
          <w:bCs/>
          <w:sz w:val="24"/>
        </w:rPr>
        <w:t>甲方逾期</w:t>
      </w:r>
      <w:r>
        <w:rPr>
          <w:rFonts w:hint="eastAsia" w:ascii="宋体" w:hAnsi="宋体"/>
          <w:bCs/>
          <w:sz w:val="24"/>
        </w:rPr>
        <w:t>向乙方</w:t>
      </w:r>
      <w:r>
        <w:rPr>
          <w:rFonts w:ascii="宋体" w:hAnsi="宋体"/>
          <w:bCs/>
          <w:sz w:val="24"/>
        </w:rPr>
        <w:t>付款的，每</w:t>
      </w:r>
      <w:r>
        <w:rPr>
          <w:rFonts w:hint="eastAsia" w:ascii="宋体" w:hAnsi="宋体"/>
          <w:bCs/>
          <w:sz w:val="24"/>
        </w:rPr>
        <w:t>逾期</w:t>
      </w:r>
      <w:r>
        <w:rPr>
          <w:rFonts w:ascii="宋体" w:hAnsi="宋体"/>
          <w:bCs/>
          <w:sz w:val="24"/>
        </w:rPr>
        <w:t>一日</w:t>
      </w:r>
      <w:r>
        <w:rPr>
          <w:rFonts w:hint="eastAsia" w:ascii="宋体" w:hAnsi="宋体"/>
          <w:bCs/>
          <w:sz w:val="24"/>
        </w:rPr>
        <w:t>，按应支付金额的1‰赔偿给乙方，</w:t>
      </w:r>
      <w:r>
        <w:rPr>
          <w:rFonts w:ascii="宋体" w:hAnsi="宋体"/>
          <w:bCs/>
          <w:sz w:val="24"/>
        </w:rPr>
        <w:t>但累计</w:t>
      </w:r>
      <w:r>
        <w:rPr>
          <w:rFonts w:hint="eastAsia" w:ascii="宋体" w:hAnsi="宋体"/>
          <w:bCs/>
          <w:sz w:val="24"/>
        </w:rPr>
        <w:t>违约</w:t>
      </w:r>
      <w:r>
        <w:rPr>
          <w:rFonts w:ascii="宋体" w:hAnsi="宋体"/>
          <w:bCs/>
          <w:sz w:val="24"/>
        </w:rPr>
        <w:t>金总额不超过</w:t>
      </w:r>
      <w:r>
        <w:rPr>
          <w:rFonts w:hint="eastAsia" w:ascii="宋体" w:hAnsi="宋体"/>
          <w:bCs/>
          <w:sz w:val="24"/>
        </w:rPr>
        <w:t>合同总金额的2</w:t>
      </w:r>
      <w:r>
        <w:rPr>
          <w:rFonts w:ascii="宋体" w:hAnsi="宋体"/>
          <w:bCs/>
          <w:sz w:val="24"/>
        </w:rPr>
        <w:t>0%。</w:t>
      </w:r>
    </w:p>
    <w:p>
      <w:pPr>
        <w:adjustRightInd w:val="0"/>
        <w:spacing w:line="360" w:lineRule="auto"/>
        <w:ind w:firstLine="480" w:firstLineChars="200"/>
        <w:rPr>
          <w:rFonts w:ascii="宋体" w:hAnsi="宋体"/>
          <w:bCs/>
          <w:sz w:val="24"/>
        </w:rPr>
      </w:pPr>
      <w:r>
        <w:rPr>
          <w:rFonts w:hint="eastAsia" w:ascii="宋体" w:hAnsi="宋体"/>
          <w:bCs/>
          <w:sz w:val="24"/>
        </w:rPr>
        <w:t xml:space="preserve">8.2 </w:t>
      </w:r>
      <w:r>
        <w:rPr>
          <w:rFonts w:ascii="宋体" w:hAnsi="宋体"/>
          <w:bCs/>
          <w:sz w:val="24"/>
        </w:rPr>
        <w:t>乙方逾期</w:t>
      </w:r>
      <w:r>
        <w:rPr>
          <w:rFonts w:hint="eastAsia" w:ascii="宋体" w:hAnsi="宋体"/>
          <w:bCs/>
          <w:sz w:val="24"/>
        </w:rPr>
        <w:t>向甲方</w:t>
      </w:r>
      <w:r>
        <w:rPr>
          <w:rFonts w:ascii="宋体" w:hAnsi="宋体"/>
          <w:bCs/>
          <w:sz w:val="24"/>
        </w:rPr>
        <w:t>交货</w:t>
      </w:r>
      <w:r>
        <w:rPr>
          <w:rFonts w:hint="eastAsia" w:ascii="宋体" w:hAnsi="宋体"/>
          <w:bCs/>
          <w:sz w:val="24"/>
        </w:rPr>
        <w:t>的</w:t>
      </w:r>
      <w:r>
        <w:rPr>
          <w:rFonts w:ascii="宋体" w:hAnsi="宋体"/>
          <w:bCs/>
          <w:sz w:val="24"/>
        </w:rPr>
        <w:t>，每逾期一日</w:t>
      </w:r>
      <w:r>
        <w:rPr>
          <w:rFonts w:hint="eastAsia" w:ascii="宋体" w:hAnsi="宋体"/>
          <w:bCs/>
          <w:sz w:val="24"/>
        </w:rPr>
        <w:t>，按应交货总金额的1‰赔偿给甲方，甲方由此所遭受的一切损失，由乙方承担赔偿责任；</w:t>
      </w:r>
      <w:r>
        <w:rPr>
          <w:rFonts w:ascii="宋体" w:hAnsi="宋体"/>
          <w:bCs/>
          <w:sz w:val="24"/>
        </w:rPr>
        <w:t>逾期达</w:t>
      </w:r>
      <w:r>
        <w:rPr>
          <w:rFonts w:hint="eastAsia" w:ascii="宋体" w:hAnsi="宋体"/>
          <w:bCs/>
          <w:sz w:val="24"/>
        </w:rPr>
        <w:t>30日的</w:t>
      </w:r>
      <w:r>
        <w:rPr>
          <w:rFonts w:ascii="宋体" w:hAnsi="宋体"/>
          <w:bCs/>
          <w:sz w:val="24"/>
        </w:rPr>
        <w:t>，甲方</w:t>
      </w:r>
      <w:r>
        <w:rPr>
          <w:rFonts w:hint="eastAsia" w:ascii="宋体" w:hAnsi="宋体"/>
          <w:bCs/>
          <w:sz w:val="24"/>
        </w:rPr>
        <w:t>有权单方面解除本合同，并要求乙方支付合同总金额的2</w:t>
      </w:r>
      <w:r>
        <w:rPr>
          <w:rFonts w:ascii="宋体" w:hAnsi="宋体"/>
          <w:bCs/>
          <w:sz w:val="24"/>
        </w:rPr>
        <w:t>0%</w:t>
      </w:r>
      <w:r>
        <w:rPr>
          <w:rFonts w:hint="eastAsia" w:ascii="宋体" w:hAnsi="宋体"/>
          <w:bCs/>
          <w:sz w:val="24"/>
        </w:rPr>
        <w:t>作为违约金，一切因乙方不履行或逾期履行本合同所遭受的损失均由乙方承担赔偿责任。</w:t>
      </w:r>
    </w:p>
    <w:p>
      <w:pPr>
        <w:adjustRightInd w:val="0"/>
        <w:spacing w:line="360" w:lineRule="auto"/>
        <w:ind w:firstLine="480" w:firstLineChars="200"/>
        <w:rPr>
          <w:rFonts w:ascii="宋体" w:hAnsi="宋体"/>
          <w:bCs/>
          <w:sz w:val="24"/>
        </w:rPr>
      </w:pPr>
      <w:r>
        <w:rPr>
          <w:rFonts w:hint="eastAsia" w:ascii="宋体" w:hAnsi="宋体"/>
          <w:bCs/>
          <w:sz w:val="24"/>
        </w:rPr>
        <w:t>8.3</w:t>
      </w:r>
      <w:r>
        <w:rPr>
          <w:rFonts w:ascii="宋体" w:hAnsi="宋体"/>
          <w:bCs/>
          <w:sz w:val="24"/>
        </w:rPr>
        <w:t>乙方所交付的货物不符合</w:t>
      </w:r>
      <w:r>
        <w:rPr>
          <w:rFonts w:hint="eastAsia" w:ascii="宋体" w:hAnsi="宋体"/>
          <w:bCs/>
          <w:sz w:val="24"/>
        </w:rPr>
        <w:t>质量要求及其他</w:t>
      </w:r>
      <w:r>
        <w:rPr>
          <w:rFonts w:ascii="宋体" w:hAnsi="宋体"/>
          <w:bCs/>
          <w:sz w:val="24"/>
        </w:rPr>
        <w:t>合同</w:t>
      </w:r>
      <w:r>
        <w:rPr>
          <w:rFonts w:hint="eastAsia" w:ascii="宋体" w:hAnsi="宋体"/>
          <w:bCs/>
          <w:sz w:val="24"/>
        </w:rPr>
        <w:t>约定</w:t>
      </w:r>
      <w:r>
        <w:rPr>
          <w:rFonts w:ascii="宋体" w:hAnsi="宋体"/>
          <w:bCs/>
          <w:sz w:val="24"/>
        </w:rPr>
        <w:t>的，甲方有权要求</w:t>
      </w:r>
      <w:r>
        <w:rPr>
          <w:rFonts w:hint="eastAsia" w:ascii="宋体" w:hAnsi="宋体"/>
          <w:bCs/>
          <w:sz w:val="24"/>
        </w:rPr>
        <w:t>乙方对货物进行更换，若更换一次后，仍未达到要求的，甲方有权拒收货物或要求乙方退货，并要求</w:t>
      </w:r>
      <w:r>
        <w:rPr>
          <w:rFonts w:ascii="宋体" w:hAnsi="宋体"/>
          <w:bCs/>
          <w:sz w:val="24"/>
        </w:rPr>
        <w:t>乙方</w:t>
      </w:r>
      <w:r>
        <w:rPr>
          <w:rFonts w:hint="eastAsia" w:ascii="宋体" w:hAnsi="宋体"/>
          <w:bCs/>
          <w:sz w:val="24"/>
        </w:rPr>
        <w:t>支付不符合合同约定的货物所对应的合同含税价款的2</w:t>
      </w:r>
      <w:r>
        <w:rPr>
          <w:rFonts w:ascii="宋体" w:hAnsi="宋体"/>
          <w:bCs/>
          <w:sz w:val="24"/>
        </w:rPr>
        <w:t>0%</w:t>
      </w:r>
      <w:r>
        <w:rPr>
          <w:rFonts w:hint="eastAsia" w:ascii="宋体" w:hAnsi="宋体"/>
          <w:bCs/>
          <w:sz w:val="24"/>
        </w:rPr>
        <w:t>作为违约金</w:t>
      </w:r>
      <w:r>
        <w:rPr>
          <w:rFonts w:ascii="宋体" w:hAnsi="宋体"/>
          <w:bCs/>
          <w:sz w:val="24"/>
        </w:rPr>
        <w:t>。</w:t>
      </w:r>
      <w:r>
        <w:rPr>
          <w:rFonts w:hint="eastAsia" w:ascii="宋体" w:hAnsi="宋体"/>
          <w:bCs/>
          <w:sz w:val="24"/>
        </w:rPr>
        <w:t>若乙方因所交付的货物不符合合同约定导致逾期交货或安装，则甲方除有权要求乙方按本条款的上述约定承担违约责任外，同时有权要求乙方按本合同的约定承担逾期交货的违约责任。</w:t>
      </w:r>
    </w:p>
    <w:p>
      <w:pPr>
        <w:adjustRightInd w:val="0"/>
        <w:spacing w:line="360" w:lineRule="auto"/>
        <w:ind w:firstLine="480" w:firstLineChars="200"/>
        <w:rPr>
          <w:rFonts w:ascii="宋体" w:hAnsi="宋体"/>
          <w:bCs/>
          <w:sz w:val="24"/>
        </w:rPr>
      </w:pPr>
      <w:r>
        <w:rPr>
          <w:rFonts w:hint="eastAsia" w:ascii="宋体" w:hAnsi="宋体"/>
          <w:bCs/>
          <w:sz w:val="24"/>
        </w:rPr>
        <w:t xml:space="preserve">8.4 </w:t>
      </w:r>
      <w:r>
        <w:rPr>
          <w:rFonts w:ascii="宋体" w:hAnsi="宋体"/>
          <w:bCs/>
          <w:sz w:val="24"/>
        </w:rPr>
        <w:t>质保期内，如经乙方两次维修或更换，货物仍不能达到合同约定的质量标准，甲方有权向乙方退货</w:t>
      </w:r>
      <w:r>
        <w:rPr>
          <w:rFonts w:hint="eastAsia" w:ascii="宋体" w:hAnsi="宋体"/>
          <w:bCs/>
          <w:sz w:val="24"/>
        </w:rPr>
        <w:t>，</w:t>
      </w:r>
      <w:r>
        <w:rPr>
          <w:rFonts w:ascii="宋体" w:hAnsi="宋体"/>
          <w:bCs/>
          <w:sz w:val="24"/>
        </w:rPr>
        <w:t>要求</w:t>
      </w:r>
      <w:r>
        <w:rPr>
          <w:rFonts w:hint="eastAsia" w:ascii="宋体" w:hAnsi="宋体"/>
          <w:bCs/>
          <w:sz w:val="24"/>
        </w:rPr>
        <w:t>乙方</w:t>
      </w:r>
      <w:r>
        <w:rPr>
          <w:rFonts w:ascii="宋体" w:hAnsi="宋体"/>
          <w:bCs/>
          <w:sz w:val="24"/>
        </w:rPr>
        <w:t>返还甲方已付货款</w:t>
      </w:r>
      <w:r>
        <w:rPr>
          <w:rFonts w:hint="eastAsia" w:ascii="宋体" w:hAnsi="宋体"/>
          <w:bCs/>
          <w:sz w:val="24"/>
        </w:rPr>
        <w:t>，</w:t>
      </w:r>
      <w:r>
        <w:rPr>
          <w:rFonts w:ascii="宋体" w:hAnsi="宋体"/>
          <w:bCs/>
          <w:sz w:val="24"/>
        </w:rPr>
        <w:t>同时甲方还有权要求乙方支付所退货物货款总额的</w:t>
      </w:r>
      <w:r>
        <w:rPr>
          <w:rFonts w:hint="eastAsia" w:ascii="宋体" w:hAnsi="宋体"/>
          <w:bCs/>
          <w:sz w:val="24"/>
        </w:rPr>
        <w:t>2</w:t>
      </w:r>
      <w:r>
        <w:rPr>
          <w:rFonts w:ascii="宋体" w:hAnsi="宋体"/>
          <w:bCs/>
          <w:sz w:val="24"/>
        </w:rPr>
        <w:t>0％</w:t>
      </w:r>
      <w:r>
        <w:rPr>
          <w:rFonts w:hint="eastAsia" w:ascii="宋体" w:hAnsi="宋体"/>
          <w:bCs/>
          <w:sz w:val="24"/>
        </w:rPr>
        <w:t>作为</w:t>
      </w:r>
      <w:r>
        <w:rPr>
          <w:rFonts w:ascii="宋体" w:hAnsi="宋体"/>
          <w:bCs/>
          <w:sz w:val="24"/>
        </w:rPr>
        <w:t>违约金并解除本合同。</w:t>
      </w:r>
    </w:p>
    <w:p>
      <w:pPr>
        <w:adjustRightInd w:val="0"/>
        <w:spacing w:line="360" w:lineRule="auto"/>
        <w:ind w:firstLine="480" w:firstLineChars="200"/>
        <w:rPr>
          <w:rFonts w:ascii="宋体" w:hAnsi="宋体"/>
          <w:bCs/>
          <w:sz w:val="24"/>
        </w:rPr>
      </w:pPr>
      <w:r>
        <w:rPr>
          <w:rFonts w:hint="eastAsia" w:ascii="宋体" w:hAnsi="宋体"/>
          <w:bCs/>
          <w:sz w:val="24"/>
        </w:rPr>
        <w:t>8.5 因一方违约而导致守约方启动司法程序维权的，守约方因实现债权而产生的所有费用（包括但不限于诉讼费、仲裁费、律师代理费、公告费、执行费、差旅费、财产保全费、财产保全保险费、评估费、公证费等），均由违约方承担。</w:t>
      </w:r>
    </w:p>
    <w:p>
      <w:pPr>
        <w:adjustRightInd w:val="0"/>
        <w:spacing w:line="360" w:lineRule="auto"/>
        <w:ind w:firstLine="480" w:firstLineChars="200"/>
        <w:rPr>
          <w:rFonts w:ascii="宋体" w:hAnsi="宋体"/>
          <w:bCs/>
          <w:sz w:val="24"/>
        </w:rPr>
      </w:pPr>
      <w:r>
        <w:rPr>
          <w:rFonts w:hint="eastAsia" w:ascii="宋体" w:hAnsi="宋体"/>
          <w:bCs/>
          <w:sz w:val="24"/>
        </w:rPr>
        <w:t>8.6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adjustRightInd w:val="0"/>
        <w:spacing w:line="360" w:lineRule="auto"/>
        <w:ind w:left="482"/>
        <w:rPr>
          <w:rFonts w:ascii="宋体" w:hAnsi="宋体"/>
          <w:b/>
          <w:sz w:val="24"/>
        </w:rPr>
      </w:pPr>
      <w:r>
        <w:rPr>
          <w:rFonts w:hint="eastAsia" w:ascii="宋体" w:hAnsi="宋体"/>
          <w:b/>
          <w:sz w:val="24"/>
        </w:rPr>
        <w:t>第九条 送达条款</w:t>
      </w:r>
    </w:p>
    <w:p>
      <w:pPr>
        <w:adjustRightInd w:val="0"/>
        <w:spacing w:line="360" w:lineRule="auto"/>
        <w:ind w:firstLine="480" w:firstLineChars="200"/>
        <w:rPr>
          <w:rFonts w:ascii="宋体" w:hAnsi="宋体"/>
          <w:sz w:val="24"/>
        </w:rPr>
      </w:pPr>
      <w:r>
        <w:rPr>
          <w:rFonts w:hint="eastAsia" w:ascii="宋体" w:hAnsi="宋体"/>
          <w:sz w:val="24"/>
        </w:rPr>
        <w:t>9.1 本合同签订、履行和仲裁、诉讼、执行以及其他法律程序所涉及的相关法律文件，以邮件快递寄送至本合同记载的各方当事人地址或者营业执照记载的住所地，自邮寄快递交邮之日起第3日即视为送达。</w:t>
      </w:r>
    </w:p>
    <w:p>
      <w:pPr>
        <w:adjustRightInd w:val="0"/>
        <w:spacing w:line="360" w:lineRule="auto"/>
        <w:ind w:firstLine="480" w:firstLineChars="200"/>
        <w:rPr>
          <w:rFonts w:ascii="宋体" w:hAnsi="宋体"/>
          <w:sz w:val="24"/>
        </w:rPr>
      </w:pPr>
      <w:r>
        <w:rPr>
          <w:rFonts w:hint="eastAsia" w:ascii="宋体" w:hAnsi="宋体"/>
          <w:sz w:val="24"/>
        </w:rPr>
        <w:t xml:space="preserve">9.2 如果一方地址或住所地发生变更，应当以书面形式通知合同对方及案件受理机构（若有）方为有效，否则造成相关法律文件或者法律文书无法送达的，将视为已经送达，因此产生的法律责任由被送达方自行承担。                                                    </w:t>
      </w:r>
    </w:p>
    <w:p>
      <w:pPr>
        <w:adjustRightInd w:val="0"/>
        <w:spacing w:line="360" w:lineRule="auto"/>
        <w:ind w:firstLine="482" w:firstLineChars="200"/>
        <w:rPr>
          <w:rFonts w:ascii="宋体" w:hAnsi="宋体"/>
          <w:b/>
          <w:sz w:val="24"/>
        </w:rPr>
      </w:pPr>
      <w:r>
        <w:rPr>
          <w:rFonts w:hint="eastAsia" w:ascii="宋体" w:hAnsi="宋体"/>
          <w:b/>
          <w:sz w:val="24"/>
        </w:rPr>
        <w:t>第十条 争议解决</w:t>
      </w:r>
    </w:p>
    <w:p>
      <w:pPr>
        <w:adjustRightInd w:val="0"/>
        <w:spacing w:line="360" w:lineRule="auto"/>
        <w:ind w:firstLine="480" w:firstLineChars="200"/>
        <w:rPr>
          <w:rFonts w:ascii="宋体" w:hAnsi="宋体"/>
          <w:sz w:val="24"/>
        </w:rPr>
      </w:pPr>
      <w:r>
        <w:rPr>
          <w:rFonts w:hint="eastAsia" w:ascii="宋体" w:hAnsi="宋体"/>
          <w:sz w:val="24"/>
        </w:rPr>
        <w:t>10.1 本合同的签订、效力、履行及任何争议仅适用中华人民共和国法律。</w:t>
      </w:r>
    </w:p>
    <w:p>
      <w:pPr>
        <w:adjustRightInd w:val="0"/>
        <w:spacing w:line="360" w:lineRule="auto"/>
        <w:ind w:firstLine="480" w:firstLineChars="200"/>
        <w:rPr>
          <w:rFonts w:ascii="宋体" w:hAnsi="宋体"/>
          <w:sz w:val="24"/>
        </w:rPr>
      </w:pPr>
      <w:r>
        <w:rPr>
          <w:rFonts w:hint="eastAsia" w:ascii="宋体" w:hAnsi="宋体"/>
          <w:sz w:val="24"/>
        </w:rPr>
        <w:t>10.2 因履行本合同引起的或与本合同有关的争议，甲、乙双方应首先通过友好协商解决，如果协商不能解决争议，则向厦门仲裁委申请仲裁。</w:t>
      </w:r>
      <w:r>
        <w:rPr>
          <w:rFonts w:ascii="宋体" w:hAnsi="宋体"/>
          <w:sz w:val="24"/>
        </w:rPr>
        <w:t>在</w:t>
      </w:r>
      <w:r>
        <w:rPr>
          <w:rFonts w:hint="eastAsia" w:ascii="宋体" w:hAnsi="宋体"/>
          <w:sz w:val="24"/>
        </w:rPr>
        <w:t>仲裁</w:t>
      </w:r>
      <w:r>
        <w:rPr>
          <w:rFonts w:ascii="宋体" w:hAnsi="宋体"/>
          <w:sz w:val="24"/>
        </w:rPr>
        <w:t>期间，除</w:t>
      </w:r>
      <w:r>
        <w:rPr>
          <w:rFonts w:hint="eastAsia" w:ascii="宋体" w:hAnsi="宋体"/>
          <w:sz w:val="24"/>
        </w:rPr>
        <w:t>纠纷</w:t>
      </w:r>
      <w:r>
        <w:rPr>
          <w:rFonts w:ascii="宋体" w:hAnsi="宋体"/>
          <w:sz w:val="24"/>
        </w:rPr>
        <w:t>部分以外，双方应继续执行合同的其余部分。</w:t>
      </w:r>
    </w:p>
    <w:p>
      <w:pPr>
        <w:adjustRightInd w:val="0"/>
        <w:spacing w:line="360" w:lineRule="auto"/>
        <w:ind w:left="482"/>
        <w:rPr>
          <w:rFonts w:ascii="宋体" w:hAnsi="宋体"/>
          <w:b/>
          <w:sz w:val="24"/>
        </w:rPr>
      </w:pPr>
      <w:r>
        <w:rPr>
          <w:rFonts w:hint="eastAsia" w:ascii="宋体" w:hAnsi="宋体"/>
          <w:b/>
          <w:sz w:val="24"/>
        </w:rPr>
        <w:t>第十一条 其  他</w:t>
      </w:r>
    </w:p>
    <w:p>
      <w:pPr>
        <w:adjustRightInd w:val="0"/>
        <w:spacing w:line="360" w:lineRule="auto"/>
        <w:ind w:firstLine="480" w:firstLineChars="200"/>
        <w:rPr>
          <w:rFonts w:ascii="宋体" w:hAnsi="宋体"/>
          <w:sz w:val="24"/>
        </w:rPr>
      </w:pPr>
      <w:r>
        <w:rPr>
          <w:rFonts w:hint="eastAsia" w:ascii="宋体" w:hAnsi="宋体"/>
          <w:sz w:val="24"/>
        </w:rPr>
        <w:t>11.1 乙方应做好生产、运输、拆卸、安装、调试等安全管理工作，为相关人员、设备、车辆购买保险，如果在全部货物调试完毕交付甲方使用之前发生任何安全责任事故，乙方须承担全部责任，与甲方无关。</w:t>
      </w:r>
    </w:p>
    <w:p>
      <w:pPr>
        <w:adjustRightInd w:val="0"/>
        <w:spacing w:line="360" w:lineRule="auto"/>
        <w:ind w:left="480"/>
        <w:rPr>
          <w:rFonts w:ascii="宋体" w:hAnsi="宋体"/>
          <w:sz w:val="24"/>
        </w:rPr>
      </w:pPr>
      <w:r>
        <w:rPr>
          <w:rFonts w:hint="eastAsia" w:ascii="宋体" w:hAnsi="宋体"/>
          <w:sz w:val="24"/>
        </w:rPr>
        <w:t>11.2 本合同经甲乙双方法定代表人或授权代表签字，并加盖公司印章生效。</w:t>
      </w:r>
    </w:p>
    <w:p>
      <w:pPr>
        <w:adjustRightInd w:val="0"/>
        <w:spacing w:line="360" w:lineRule="auto"/>
        <w:ind w:left="240" w:firstLine="240" w:firstLineChars="100"/>
        <w:rPr>
          <w:rFonts w:ascii="宋体" w:hAnsi="宋体"/>
          <w:sz w:val="24"/>
        </w:rPr>
      </w:pPr>
      <w:r>
        <w:rPr>
          <w:rFonts w:hint="eastAsia" w:ascii="宋体" w:hAnsi="宋体"/>
          <w:sz w:val="24"/>
        </w:rPr>
        <w:t>11.3 本合同壹式</w:t>
      </w:r>
      <w:r>
        <w:rPr>
          <w:rFonts w:hint="eastAsia" w:ascii="宋体" w:hAnsi="宋体"/>
          <w:sz w:val="24"/>
          <w:u w:val="single"/>
        </w:rPr>
        <w:t>四</w:t>
      </w:r>
      <w:r>
        <w:rPr>
          <w:rFonts w:hint="eastAsia" w:ascii="宋体" w:hAnsi="宋体"/>
          <w:sz w:val="24"/>
        </w:rPr>
        <w:t>份，甲方执</w:t>
      </w:r>
      <w:r>
        <w:rPr>
          <w:rFonts w:hint="eastAsia" w:ascii="宋体" w:hAnsi="宋体"/>
          <w:sz w:val="24"/>
          <w:u w:val="single"/>
        </w:rPr>
        <w:t>三</w:t>
      </w:r>
      <w:r>
        <w:rPr>
          <w:rFonts w:hint="eastAsia" w:ascii="宋体" w:hAnsi="宋体"/>
          <w:sz w:val="24"/>
        </w:rPr>
        <w:t>份，乙方执</w:t>
      </w:r>
      <w:r>
        <w:rPr>
          <w:rFonts w:hint="eastAsia" w:ascii="宋体" w:hAnsi="宋体"/>
          <w:sz w:val="24"/>
          <w:u w:val="single"/>
        </w:rPr>
        <w:t>一</w:t>
      </w:r>
      <w:r>
        <w:rPr>
          <w:rFonts w:hint="eastAsia" w:ascii="宋体" w:hAnsi="宋体"/>
          <w:sz w:val="24"/>
        </w:rPr>
        <w:t>份，具有同等法律效力。</w:t>
      </w:r>
    </w:p>
    <w:p>
      <w:pPr>
        <w:adjustRightInd w:val="0"/>
        <w:spacing w:line="360" w:lineRule="auto"/>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11.4 本合同附件作为本合同不可分割的组成部分，与本合同具有同等法律效力。</w:t>
      </w: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sz w:val="24"/>
        </w:rPr>
      </w:pPr>
      <w:r>
        <w:rPr>
          <w:rFonts w:hint="eastAsia"/>
          <w:sz w:val="24"/>
        </w:rPr>
        <w:t>收货地址：</w:t>
      </w:r>
    </w:p>
    <w:p>
      <w:pPr>
        <w:spacing w:line="460" w:lineRule="exact"/>
        <w:ind w:left="-179" w:leftChars="-257" w:hanging="361"/>
        <w:jc w:val="left"/>
        <w:rPr>
          <w:sz w:val="24"/>
        </w:rPr>
      </w:pPr>
      <w:r>
        <w:rPr>
          <w:rFonts w:hint="eastAsia"/>
          <w:sz w:val="24"/>
        </w:rPr>
        <w:t xml:space="preserve">本合同签订日期：  年  月  日    </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ind w:firstLine="3360" w:firstLineChars="1400"/>
        <w:rPr>
          <w:sz w:val="24"/>
        </w:rPr>
      </w:pPr>
    </w:p>
    <w:p>
      <w:pPr>
        <w:spacing w:line="360" w:lineRule="auto"/>
        <w:jc w:val="left"/>
        <w:rPr>
          <w:rFonts w:ascii="宋体" w:hAnsi="宋体"/>
          <w:b/>
          <w:sz w:val="24"/>
        </w:rPr>
      </w:pPr>
      <w:r>
        <w:rPr>
          <w:rFonts w:hint="eastAsia" w:ascii="宋体" w:hAnsi="宋体" w:cs="宋体"/>
          <w:sz w:val="24"/>
        </w:rPr>
        <w:t>附件一：</w:t>
      </w:r>
      <w:r>
        <w:rPr>
          <w:rFonts w:hint="eastAsia" w:ascii="宋体" w:hAnsi="宋体" w:cs="宋体"/>
          <w:b/>
          <w:bCs/>
          <w:sz w:val="24"/>
        </w:rPr>
        <w:t>氢氧燃料电池测试系统</w:t>
      </w:r>
      <w:r>
        <w:rPr>
          <w:rFonts w:hint="eastAsia" w:ascii="宋体" w:hAnsi="宋体"/>
          <w:b/>
          <w:sz w:val="24"/>
        </w:rPr>
        <w:t>技术参数：</w:t>
      </w:r>
    </w:p>
    <w:p>
      <w:pPr>
        <w:spacing w:line="360" w:lineRule="auto"/>
        <w:jc w:val="left"/>
        <w:rPr>
          <w:rFonts w:ascii="宋体" w:hAnsi="宋体"/>
          <w:b/>
          <w:sz w:val="24"/>
        </w:rPr>
      </w:pPr>
    </w:p>
    <w:p>
      <w:pPr>
        <w:spacing w:line="360" w:lineRule="auto"/>
        <w:ind w:firstLine="3360" w:firstLineChars="1400"/>
        <w:jc w:val="left"/>
        <w:rPr>
          <w:sz w:val="24"/>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an cui" w:date="2021-09-17T14:56:00Z" w:initials="pc">
    <w:p w14:paraId="6F05646A">
      <w:pPr>
        <w:pStyle w:val="3"/>
      </w:pPr>
      <w:r>
        <w:rPr>
          <w:rFonts w:hint="eastAsia"/>
        </w:rPr>
        <w:t>需要调整比例，最低接受5</w:t>
      </w:r>
      <w:r>
        <w:t>0</w:t>
      </w:r>
      <w:r>
        <w:rPr>
          <w:rFonts w:hint="eastAsia"/>
        </w:rPr>
        <w:t>%，5</w:t>
      </w:r>
      <w:r>
        <w:t>0</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0564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ZZhunYuan-M02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1"/>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 cui">
    <w15:presenceInfo w15:providerId="Windows Live" w15:userId="0342cc5b4dda9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2956DD"/>
    <w:rsid w:val="00363E7F"/>
    <w:rsid w:val="003952B5"/>
    <w:rsid w:val="003A7214"/>
    <w:rsid w:val="003B5EF3"/>
    <w:rsid w:val="003E17BF"/>
    <w:rsid w:val="00404174"/>
    <w:rsid w:val="004443A9"/>
    <w:rsid w:val="00454B35"/>
    <w:rsid w:val="00466E9E"/>
    <w:rsid w:val="004F204B"/>
    <w:rsid w:val="004F2137"/>
    <w:rsid w:val="0050790C"/>
    <w:rsid w:val="00515C0E"/>
    <w:rsid w:val="00586A1C"/>
    <w:rsid w:val="005E39D7"/>
    <w:rsid w:val="00607AB4"/>
    <w:rsid w:val="006216EC"/>
    <w:rsid w:val="00666B09"/>
    <w:rsid w:val="006728FA"/>
    <w:rsid w:val="00675A1F"/>
    <w:rsid w:val="006B03C3"/>
    <w:rsid w:val="006D1705"/>
    <w:rsid w:val="006D6DEB"/>
    <w:rsid w:val="00724054"/>
    <w:rsid w:val="00756C6B"/>
    <w:rsid w:val="007763E8"/>
    <w:rsid w:val="00786041"/>
    <w:rsid w:val="007B05A4"/>
    <w:rsid w:val="007D2956"/>
    <w:rsid w:val="007F55B5"/>
    <w:rsid w:val="0083518E"/>
    <w:rsid w:val="008B7766"/>
    <w:rsid w:val="008D070A"/>
    <w:rsid w:val="008F7026"/>
    <w:rsid w:val="00926E68"/>
    <w:rsid w:val="009548E6"/>
    <w:rsid w:val="00975B3B"/>
    <w:rsid w:val="00986620"/>
    <w:rsid w:val="00987B37"/>
    <w:rsid w:val="009A147A"/>
    <w:rsid w:val="009B120D"/>
    <w:rsid w:val="00A20425"/>
    <w:rsid w:val="00A33A9C"/>
    <w:rsid w:val="00A344A9"/>
    <w:rsid w:val="00A40C44"/>
    <w:rsid w:val="00A47D6B"/>
    <w:rsid w:val="00A9547E"/>
    <w:rsid w:val="00AE539C"/>
    <w:rsid w:val="00AF6147"/>
    <w:rsid w:val="00B2170A"/>
    <w:rsid w:val="00B46C49"/>
    <w:rsid w:val="00B777BC"/>
    <w:rsid w:val="00BD4B96"/>
    <w:rsid w:val="00BE4315"/>
    <w:rsid w:val="00C21064"/>
    <w:rsid w:val="00C3212D"/>
    <w:rsid w:val="00C60F04"/>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1335132"/>
    <w:rsid w:val="0BE03768"/>
    <w:rsid w:val="121046EC"/>
    <w:rsid w:val="124C124F"/>
    <w:rsid w:val="12B341EA"/>
    <w:rsid w:val="12C5401A"/>
    <w:rsid w:val="146B12E9"/>
    <w:rsid w:val="19DC45B9"/>
    <w:rsid w:val="1CD91C97"/>
    <w:rsid w:val="2ADA0F0C"/>
    <w:rsid w:val="2CA10230"/>
    <w:rsid w:val="2DA57A2F"/>
    <w:rsid w:val="2DDB6773"/>
    <w:rsid w:val="2E1351A1"/>
    <w:rsid w:val="2E5F4881"/>
    <w:rsid w:val="2EA64C67"/>
    <w:rsid w:val="31811C32"/>
    <w:rsid w:val="326B7E8B"/>
    <w:rsid w:val="3375635B"/>
    <w:rsid w:val="34826751"/>
    <w:rsid w:val="36D36FF4"/>
    <w:rsid w:val="376357E1"/>
    <w:rsid w:val="39F4487A"/>
    <w:rsid w:val="3ABA67BF"/>
    <w:rsid w:val="40EF77EF"/>
    <w:rsid w:val="43E942BE"/>
    <w:rsid w:val="481E4DC9"/>
    <w:rsid w:val="49A03415"/>
    <w:rsid w:val="4A8D603B"/>
    <w:rsid w:val="4B6B5642"/>
    <w:rsid w:val="50275A13"/>
    <w:rsid w:val="5152568B"/>
    <w:rsid w:val="57503462"/>
    <w:rsid w:val="578B162C"/>
    <w:rsid w:val="57B427BE"/>
    <w:rsid w:val="5AC259CF"/>
    <w:rsid w:val="5AED68F4"/>
    <w:rsid w:val="61264F5A"/>
    <w:rsid w:val="62170FA9"/>
    <w:rsid w:val="63E7493A"/>
    <w:rsid w:val="699924A6"/>
    <w:rsid w:val="6A163CBA"/>
    <w:rsid w:val="6BC937D7"/>
    <w:rsid w:val="6BE76F67"/>
    <w:rsid w:val="6D82743B"/>
    <w:rsid w:val="6E4D070F"/>
    <w:rsid w:val="6EB56E53"/>
    <w:rsid w:val="72AC6F05"/>
    <w:rsid w:val="75DC5B88"/>
    <w:rsid w:val="77C217DB"/>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3"/>
    <w:unhideWhenUsed/>
    <w:qFormat/>
    <w:uiPriority w:val="99"/>
    <w:pPr>
      <w:jc w:val="left"/>
    </w:pPr>
  </w:style>
  <w:style w:type="paragraph" w:styleId="4">
    <w:name w:val="Plain Text"/>
    <w:basedOn w:val="1"/>
    <w:link w:val="18"/>
    <w:qFormat/>
    <w:uiPriority w:val="0"/>
    <w:rPr>
      <w:rFonts w:ascii="宋体" w:hAnsi="Courier New" w:cs="Courier New"/>
      <w:szCs w:val="21"/>
    </w:rPr>
  </w:style>
  <w:style w:type="paragraph" w:styleId="5">
    <w:name w:val="Body Text Indent 2"/>
    <w:basedOn w:val="1"/>
    <w:link w:val="19"/>
    <w:unhideWhenUsed/>
    <w:qFormat/>
    <w:uiPriority w:val="0"/>
    <w:pPr>
      <w:spacing w:after="120" w:line="480" w:lineRule="auto"/>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paragraph" w:styleId="10">
    <w:name w:val="Title"/>
    <w:basedOn w:val="1"/>
    <w:qFormat/>
    <w:uiPriority w:val="0"/>
    <w:pPr>
      <w:spacing w:before="240" w:after="60" w:line="360" w:lineRule="auto"/>
      <w:jc w:val="left"/>
      <w:outlineLvl w:val="0"/>
    </w:pPr>
    <w:rPr>
      <w:b/>
      <w:sz w:val="28"/>
      <w:szCs w:val="20"/>
    </w:rPr>
  </w:style>
  <w:style w:type="paragraph" w:styleId="11">
    <w:name w:val="annotation subject"/>
    <w:basedOn w:val="3"/>
    <w:next w:val="3"/>
    <w:link w:val="34"/>
    <w:semiHidden/>
    <w:unhideWhenUsed/>
    <w:uiPriority w:val="99"/>
    <w:rPr>
      <w:b/>
      <w:bCs/>
    </w:rPr>
  </w:style>
  <w:style w:type="table" w:styleId="13">
    <w:name w:val="Table Grid"/>
    <w:basedOn w:val="1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uiPriority w:val="99"/>
    <w:rPr>
      <w:sz w:val="21"/>
      <w:szCs w:val="21"/>
    </w:rPr>
  </w:style>
  <w:style w:type="character" w:customStyle="1" w:styleId="17">
    <w:name w:val="标题 1 字符"/>
    <w:basedOn w:val="14"/>
    <w:link w:val="2"/>
    <w:qFormat/>
    <w:uiPriority w:val="99"/>
    <w:rPr>
      <w:rFonts w:ascii="宋体" w:hAnsi="Times New Roman" w:eastAsia="宋体" w:cs="Times New Roman"/>
      <w:b/>
      <w:kern w:val="44"/>
      <w:sz w:val="32"/>
      <w:szCs w:val="20"/>
    </w:rPr>
  </w:style>
  <w:style w:type="character" w:customStyle="1" w:styleId="18">
    <w:name w:val="纯文本 字符"/>
    <w:basedOn w:val="14"/>
    <w:link w:val="4"/>
    <w:qFormat/>
    <w:uiPriority w:val="0"/>
    <w:rPr>
      <w:rFonts w:ascii="宋体" w:hAnsi="Courier New" w:eastAsia="宋体" w:cs="Courier New"/>
      <w:szCs w:val="21"/>
    </w:rPr>
  </w:style>
  <w:style w:type="character" w:customStyle="1" w:styleId="19">
    <w:name w:val="正文文本缩进 2 字符"/>
    <w:basedOn w:val="14"/>
    <w:link w:val="5"/>
    <w:qFormat/>
    <w:uiPriority w:val="0"/>
    <w:rPr>
      <w:rFonts w:ascii="Times New Roman" w:hAnsi="Times New Roman" w:eastAsia="宋体" w:cs="Times New Roman"/>
      <w:szCs w:val="24"/>
    </w:rPr>
  </w:style>
  <w:style w:type="character" w:customStyle="1" w:styleId="20">
    <w:name w:val="页脚 字符"/>
    <w:basedOn w:val="14"/>
    <w:link w:val="7"/>
    <w:qFormat/>
    <w:uiPriority w:val="99"/>
    <w:rPr>
      <w:rFonts w:ascii="Times New Roman" w:hAnsi="Times New Roman" w:eastAsia="宋体" w:cs="Times New Roman"/>
      <w:sz w:val="18"/>
      <w:szCs w:val="18"/>
    </w:rPr>
  </w:style>
  <w:style w:type="character" w:customStyle="1" w:styleId="21">
    <w:name w:val="页眉 字符"/>
    <w:basedOn w:val="14"/>
    <w:link w:val="8"/>
    <w:qFormat/>
    <w:uiPriority w:val="99"/>
    <w:rPr>
      <w:rFonts w:ascii="Times New Roman" w:hAnsi="Times New Roman" w:eastAsia="宋体" w:cs="Times New Roman"/>
      <w:sz w:val="18"/>
      <w:szCs w:val="18"/>
    </w:rPr>
  </w:style>
  <w:style w:type="paragraph" w:customStyle="1" w:styleId="22">
    <w:name w:val="列出段落1"/>
    <w:basedOn w:val="1"/>
    <w:qFormat/>
    <w:uiPriority w:val="34"/>
    <w:pPr>
      <w:ind w:firstLine="420" w:firstLineChars="200"/>
    </w:pPr>
  </w:style>
  <w:style w:type="paragraph" w:customStyle="1" w:styleId="23">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4">
    <w:name w:val="p0"/>
    <w:basedOn w:val="1"/>
    <w:qFormat/>
    <w:uiPriority w:val="0"/>
    <w:pPr>
      <w:widowControl/>
    </w:pPr>
    <w:rPr>
      <w:kern w:val="0"/>
      <w:szCs w:val="21"/>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批注框文本 字符"/>
    <w:basedOn w:val="14"/>
    <w:link w:val="6"/>
    <w:semiHidden/>
    <w:qFormat/>
    <w:uiPriority w:val="99"/>
    <w:rPr>
      <w:rFonts w:ascii="Times New Roman" w:hAnsi="Times New Roman" w:eastAsia="宋体" w:cs="Times New Roman"/>
      <w:sz w:val="18"/>
      <w:szCs w:val="18"/>
    </w:rPr>
  </w:style>
  <w:style w:type="paragraph" w:customStyle="1" w:styleId="27">
    <w:name w:val="样式3"/>
    <w:basedOn w:val="4"/>
    <w:qFormat/>
    <w:uiPriority w:val="0"/>
    <w:pPr>
      <w:spacing w:line="0" w:lineRule="atLeast"/>
      <w:outlineLvl w:val="0"/>
    </w:pPr>
    <w:rPr>
      <w:rFonts w:cs="Times New Roman"/>
      <w:sz w:val="28"/>
      <w:szCs w:val="24"/>
    </w:rPr>
  </w:style>
  <w:style w:type="paragraph" w:styleId="28">
    <w:name w:val="No Spacing"/>
    <w:qFormat/>
    <w:uiPriority w:val="1"/>
    <w:pPr>
      <w:widowControl w:val="0"/>
      <w:spacing w:line="360" w:lineRule="auto"/>
      <w:ind w:firstLine="100" w:firstLineChars="100"/>
    </w:pPr>
    <w:rPr>
      <w:rFonts w:ascii="Times New Roman" w:hAnsi="Times New Roman" w:eastAsia="宋体" w:cs="Times New Roman"/>
      <w:b/>
      <w:kern w:val="2"/>
      <w:sz w:val="21"/>
      <w:szCs w:val="24"/>
      <w:lang w:val="en-US" w:eastAsia="zh-CN" w:bidi="ar-SA"/>
    </w:rPr>
  </w:style>
  <w:style w:type="paragraph" w:customStyle="1" w:styleId="29">
    <w:name w:val="设备标题"/>
    <w:basedOn w:val="1"/>
    <w:qFormat/>
    <w:uiPriority w:val="1"/>
    <w:pPr>
      <w:autoSpaceDE w:val="0"/>
      <w:autoSpaceDN w:val="0"/>
      <w:spacing w:before="39" w:line="480" w:lineRule="auto"/>
      <w:jc w:val="left"/>
    </w:pPr>
    <w:rPr>
      <w:rFonts w:ascii="宋体" w:hAnsi="宋体" w:cs="宋体"/>
      <w:b/>
      <w:kern w:val="0"/>
      <w:sz w:val="24"/>
      <w:szCs w:val="22"/>
      <w:lang w:val="zh-CN" w:bidi="zh-CN"/>
    </w:rPr>
  </w:style>
  <w:style w:type="paragraph" w:customStyle="1" w:styleId="30">
    <w:name w:val="Default"/>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 w:type="table" w:customStyle="1" w:styleId="3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
    <w:name w:val="未处理的提及1"/>
    <w:basedOn w:val="14"/>
    <w:semiHidden/>
    <w:unhideWhenUsed/>
    <w:uiPriority w:val="99"/>
    <w:rPr>
      <w:color w:val="605E5C"/>
      <w:shd w:val="clear" w:color="auto" w:fill="E1DFDD"/>
    </w:rPr>
  </w:style>
  <w:style w:type="character" w:customStyle="1" w:styleId="33">
    <w:name w:val="批注文字 字符"/>
    <w:basedOn w:val="14"/>
    <w:link w:val="3"/>
    <w:uiPriority w:val="99"/>
    <w:rPr>
      <w:kern w:val="2"/>
      <w:sz w:val="21"/>
      <w:szCs w:val="24"/>
    </w:rPr>
  </w:style>
  <w:style w:type="character" w:customStyle="1" w:styleId="34">
    <w:name w:val="批注主题 字符"/>
    <w:basedOn w:val="33"/>
    <w:link w:val="11"/>
    <w:semiHidden/>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2558</Words>
  <Characters>14585</Characters>
  <Lines>121</Lines>
  <Paragraphs>34</Paragraphs>
  <TotalTime>70</TotalTime>
  <ScaleCrop>false</ScaleCrop>
  <LinksUpToDate>false</LinksUpToDate>
  <CharactersWithSpaces>17109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2021-09-17T06:57:00Z</dcterms:created>
  <dc:creator>朱水林</dc:creator>
  <cp:lastModifiedBy>红日初升</cp:lastModifiedBy>
  <dcterms:modified xsi:type="dcterms:W3CDTF">2021-09-23T08:51:33Z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65A3123C70604C99AE842DF2B055F587</vt:lpwstr>
  </property>
</Properties>
</file>