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1807" w:firstLineChars="500"/>
        <w:rPr>
          <w:rFonts w:hint="default" w:ascii="宋体" w:hAnsi="宋体"/>
          <w:b/>
          <w:bCs/>
          <w:sz w:val="36"/>
          <w:szCs w:val="28"/>
          <w:lang w:val="en-US" w:eastAsia="zh-CN"/>
        </w:rPr>
      </w:pPr>
      <w:r>
        <w:rPr>
          <w:rFonts w:hint="default" w:ascii="宋体" w:hAnsi="宋体"/>
          <w:b/>
          <w:bCs/>
          <w:sz w:val="36"/>
          <w:szCs w:val="28"/>
          <w:lang w:val="en-US" w:eastAsia="zh-CN"/>
        </w:rPr>
        <w:t>窄线宽中红</w:t>
      </w:r>
      <w:r>
        <w:rPr>
          <w:rFonts w:hint="eastAsia" w:ascii="宋体" w:hAnsi="宋体"/>
          <w:b/>
          <w:bCs/>
          <w:sz w:val="36"/>
          <w:szCs w:val="28"/>
          <w:lang w:val="en-US" w:eastAsia="zh-CN"/>
        </w:rPr>
        <w:t>外</w:t>
      </w:r>
      <w:r>
        <w:rPr>
          <w:rFonts w:hint="default" w:ascii="宋体" w:hAnsi="宋体"/>
          <w:b/>
          <w:bCs/>
          <w:sz w:val="36"/>
          <w:szCs w:val="28"/>
          <w:lang w:val="en-US" w:eastAsia="zh-CN"/>
        </w:rPr>
        <w:t>连续波可调谐激光器</w:t>
      </w:r>
    </w:p>
    <w:p>
      <w:pPr>
        <w:ind w:firstLine="1807" w:firstLineChars="500"/>
        <w:rPr>
          <w:rFonts w:hint="default" w:ascii="宋体" w:hAnsi="宋体"/>
          <w:b/>
          <w:bCs/>
          <w:sz w:val="36"/>
          <w:szCs w:val="28"/>
          <w:lang w:val="en-US" w:eastAsia="zh-CN"/>
        </w:rPr>
      </w:pPr>
    </w:p>
    <w:p>
      <w:pPr>
        <w:spacing w:line="360" w:lineRule="auto"/>
        <w:jc w:val="center"/>
        <w:rPr>
          <w:rFonts w:hint="default" w:ascii="宋体" w:hAnsi="宋体" w:eastAsia="宋体"/>
          <w:b/>
          <w:bCs/>
          <w:sz w:val="36"/>
          <w:szCs w:val="28"/>
          <w:lang w:val="en-US" w:eastAsia="zh-CN"/>
        </w:rPr>
      </w:pPr>
      <w:r>
        <w:rPr>
          <w:rFonts w:hint="eastAsia" w:ascii="宋体" w:hAnsi="宋体"/>
          <w:b/>
          <w:bCs/>
          <w:sz w:val="36"/>
          <w:szCs w:val="28"/>
        </w:rPr>
        <w:t>采购编号： JGYQ-2021TP-076</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hint="eastAsia"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lang w:val="en-US" w:eastAsia="zh-CN"/>
        </w:rPr>
        <w:t>1</w:t>
      </w:r>
      <w:r>
        <w:rPr>
          <w:rFonts w:hint="eastAsia" w:ascii="宋体" w:hAnsi="宋体"/>
          <w:b/>
          <w:bCs/>
          <w:sz w:val="28"/>
          <w:szCs w:val="28"/>
        </w:rPr>
        <w:t>年</w:t>
      </w:r>
      <w:r>
        <w:rPr>
          <w:rFonts w:hint="eastAsia" w:ascii="宋体" w:hAnsi="宋体"/>
          <w:b/>
          <w:bCs/>
          <w:sz w:val="28"/>
          <w:szCs w:val="28"/>
          <w:lang w:val="en-US" w:eastAsia="zh-CN"/>
        </w:rPr>
        <w:t>8</w:t>
      </w:r>
      <w:r>
        <w:rPr>
          <w:rFonts w:hint="eastAsia" w:ascii="宋体" w:hAnsi="宋体"/>
          <w:b/>
          <w:bCs/>
          <w:sz w:val="28"/>
          <w:szCs w:val="28"/>
        </w:rPr>
        <w:t>月</w:t>
      </w:r>
      <w:r>
        <w:rPr>
          <w:rFonts w:hint="eastAsia" w:ascii="宋体" w:hAnsi="宋体"/>
          <w:b/>
          <w:bCs/>
          <w:sz w:val="28"/>
          <w:szCs w:val="28"/>
          <w:lang w:val="en-US" w:eastAsia="zh-CN"/>
        </w:rPr>
        <w:t>19</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窄线宽中红</w:t>
      </w:r>
      <w:r>
        <w:rPr>
          <w:rFonts w:hint="eastAsia" w:ascii="宋体" w:hAnsi="宋体"/>
          <w:sz w:val="28"/>
          <w:szCs w:val="28"/>
          <w:u w:val="single"/>
          <w:lang w:val="en-US" w:eastAsia="zh-CN"/>
        </w:rPr>
        <w:t>外</w:t>
      </w:r>
      <w:r>
        <w:rPr>
          <w:rFonts w:hint="eastAsia" w:ascii="宋体" w:hAnsi="宋体"/>
          <w:sz w:val="28"/>
          <w:szCs w:val="28"/>
          <w:u w:val="single"/>
        </w:rPr>
        <w:t>连续波可调谐激光器</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 xml:space="preserve">采购编号：JGYQ-2021TP-076 </w:t>
      </w:r>
    </w:p>
    <w:p>
      <w:pPr>
        <w:numPr>
          <w:ilvl w:val="0"/>
          <w:numId w:val="2"/>
        </w:numPr>
        <w:spacing w:line="360" w:lineRule="auto"/>
        <w:rPr>
          <w:rFonts w:ascii="宋体"/>
          <w:sz w:val="28"/>
          <w:szCs w:val="28"/>
        </w:rPr>
      </w:pPr>
      <w:r>
        <w:rPr>
          <w:rFonts w:hint="eastAsia" w:ascii="宋体" w:hAnsi="宋体"/>
          <w:sz w:val="28"/>
          <w:szCs w:val="28"/>
        </w:rPr>
        <w:t>采购项目：</w:t>
      </w:r>
      <w:r>
        <w:rPr>
          <w:rFonts w:hint="eastAsia" w:ascii="宋体" w:hAnsi="宋体"/>
          <w:sz w:val="28"/>
          <w:szCs w:val="28"/>
          <w:u w:val="none"/>
        </w:rPr>
        <w:t>窄线宽中红</w:t>
      </w:r>
      <w:r>
        <w:rPr>
          <w:rFonts w:hint="eastAsia" w:ascii="宋体" w:hAnsi="宋体"/>
          <w:sz w:val="28"/>
          <w:szCs w:val="28"/>
          <w:u w:val="none"/>
          <w:lang w:val="en-US" w:eastAsia="zh-CN"/>
        </w:rPr>
        <w:t>外</w:t>
      </w:r>
      <w:r>
        <w:rPr>
          <w:rFonts w:hint="eastAsia" w:ascii="宋体" w:hAnsi="宋体"/>
          <w:sz w:val="28"/>
          <w:szCs w:val="28"/>
          <w:u w:val="none"/>
        </w:rPr>
        <w:t>连续波可调谐激光器</w:t>
      </w:r>
    </w:p>
    <w:p>
      <w:pPr>
        <w:numPr>
          <w:ilvl w:val="0"/>
          <w:numId w:val="2"/>
        </w:numPr>
        <w:spacing w:line="360" w:lineRule="auto"/>
        <w:rPr>
          <w:rFonts w:ascii="宋体"/>
          <w:sz w:val="28"/>
          <w:szCs w:val="28"/>
          <w:highlight w:val="none"/>
        </w:rPr>
      </w:pPr>
      <w:r>
        <w:rPr>
          <w:rFonts w:hint="eastAsia" w:ascii="宋体" w:hAnsi="宋体"/>
          <w:sz w:val="28"/>
          <w:szCs w:val="28"/>
          <w:highlight w:val="none"/>
        </w:rPr>
        <w:t>采购预算：</w:t>
      </w:r>
      <w:r>
        <w:rPr>
          <w:rFonts w:hint="eastAsia"/>
          <w:sz w:val="28"/>
          <w:szCs w:val="28"/>
          <w:highlight w:val="none"/>
        </w:rPr>
        <w:t>本项目预算人民币</w:t>
      </w:r>
      <w:r>
        <w:rPr>
          <w:rFonts w:hint="eastAsia"/>
          <w:sz w:val="28"/>
          <w:szCs w:val="28"/>
          <w:highlight w:val="none"/>
          <w:lang w:val="en-US" w:eastAsia="zh-CN"/>
        </w:rPr>
        <w:t>712000</w:t>
      </w:r>
      <w:r>
        <w:rPr>
          <w:rFonts w:hint="eastAsia"/>
          <w:sz w:val="28"/>
          <w:szCs w:val="28"/>
          <w:highlight w:val="none"/>
        </w:rPr>
        <w:t>元（最高控制价）</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hint="default" w:ascii="宋体" w:hAnsi="宋体"/>
          <w:b/>
          <w:sz w:val="28"/>
          <w:szCs w:val="28"/>
          <w:highlight w:val="none"/>
          <w:lang w:val="en-US"/>
        </w:rPr>
      </w:pPr>
      <w:r>
        <w:rPr>
          <w:rFonts w:hint="eastAsia" w:ascii="宋体" w:hAnsi="宋体"/>
          <w:b/>
          <w:sz w:val="28"/>
          <w:szCs w:val="28"/>
          <w:highlight w:val="none"/>
        </w:rPr>
        <w:t>报价截止和磋商时间：</w:t>
      </w:r>
      <w:r>
        <w:rPr>
          <w:rFonts w:ascii="宋体" w:hAnsi="宋体"/>
          <w:b/>
          <w:sz w:val="28"/>
          <w:szCs w:val="28"/>
          <w:highlight w:val="none"/>
        </w:rPr>
        <w:t>202</w:t>
      </w:r>
      <w:r>
        <w:rPr>
          <w:rFonts w:hint="eastAsia" w:ascii="宋体" w:hAnsi="宋体"/>
          <w:b/>
          <w:sz w:val="28"/>
          <w:szCs w:val="28"/>
          <w:highlight w:val="none"/>
          <w:lang w:val="en-US" w:eastAsia="zh-CN"/>
        </w:rPr>
        <w:t>1</w:t>
      </w:r>
      <w:r>
        <w:rPr>
          <w:rFonts w:hint="eastAsia" w:ascii="宋体" w:hAnsi="宋体"/>
          <w:b/>
          <w:sz w:val="28"/>
          <w:szCs w:val="28"/>
          <w:highlight w:val="none"/>
        </w:rPr>
        <w:t>年</w:t>
      </w:r>
      <w:r>
        <w:rPr>
          <w:rFonts w:hint="eastAsia" w:ascii="宋体" w:hAnsi="宋体"/>
          <w:b/>
          <w:sz w:val="28"/>
          <w:szCs w:val="28"/>
          <w:highlight w:val="none"/>
          <w:lang w:val="en-US" w:eastAsia="zh-CN"/>
        </w:rPr>
        <w:t>8</w:t>
      </w:r>
      <w:r>
        <w:rPr>
          <w:rFonts w:hint="eastAsia" w:ascii="宋体" w:hAnsi="宋体"/>
          <w:b/>
          <w:sz w:val="28"/>
          <w:szCs w:val="28"/>
          <w:highlight w:val="none"/>
        </w:rPr>
        <w:t>月</w:t>
      </w:r>
      <w:r>
        <w:rPr>
          <w:rFonts w:hint="eastAsia" w:ascii="宋体" w:hAnsi="宋体"/>
          <w:b/>
          <w:sz w:val="28"/>
          <w:szCs w:val="28"/>
          <w:highlight w:val="none"/>
          <w:lang w:val="en-US" w:eastAsia="zh-CN"/>
        </w:rPr>
        <w:t>26</w:t>
      </w:r>
      <w:r>
        <w:rPr>
          <w:rFonts w:hint="eastAsia" w:ascii="宋体" w:hAnsi="宋体"/>
          <w:b/>
          <w:sz w:val="28"/>
          <w:szCs w:val="28"/>
          <w:highlight w:val="none"/>
        </w:rPr>
        <w:t>日</w:t>
      </w:r>
      <w:r>
        <w:rPr>
          <w:rFonts w:hint="eastAsia" w:ascii="宋体" w:hAnsi="宋体"/>
          <w:b/>
          <w:sz w:val="28"/>
          <w:szCs w:val="28"/>
          <w:highlight w:val="none"/>
          <w:lang w:val="en-US" w:eastAsia="zh-CN"/>
        </w:rPr>
        <w:t>下午14：30</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报名及磋商文件发售截至时间：报价人必须在</w:t>
      </w:r>
      <w:r>
        <w:rPr>
          <w:rFonts w:ascii="宋体" w:hAnsi="宋体"/>
          <w:sz w:val="28"/>
          <w:szCs w:val="28"/>
          <w:highlight w:val="none"/>
        </w:rPr>
        <w:t>202</w:t>
      </w:r>
      <w:r>
        <w:rPr>
          <w:rFonts w:hint="eastAsia" w:ascii="宋体" w:hAnsi="宋体"/>
          <w:sz w:val="28"/>
          <w:szCs w:val="28"/>
          <w:highlight w:val="none"/>
          <w:lang w:val="en-US" w:eastAsia="zh-CN"/>
        </w:rPr>
        <w:t>1</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25</w:t>
      </w:r>
      <w:r>
        <w:rPr>
          <w:rFonts w:hint="eastAsia" w:ascii="宋体" w:hAnsi="宋体"/>
          <w:sz w:val="28"/>
          <w:szCs w:val="28"/>
          <w:highlight w:val="none"/>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highlight w:val="none"/>
        </w:rPr>
      </w:pPr>
      <w:r>
        <w:rPr>
          <w:rFonts w:hint="eastAsia" w:ascii="宋体"/>
          <w:sz w:val="28"/>
          <w:szCs w:val="28"/>
          <w:highlight w:val="none"/>
          <w:lang w:val="en-US" w:eastAsia="zh-CN"/>
        </w:rPr>
        <w:t xml:space="preserve"> </w:t>
      </w:r>
      <w:r>
        <w:rPr>
          <w:rFonts w:hint="eastAsia" w:ascii="宋体" w:hAnsi="宋体"/>
          <w:sz w:val="28"/>
          <w:szCs w:val="28"/>
          <w:highlight w:val="none"/>
        </w:rPr>
        <w:t>开标地点：厦门市思明南路422号厦门大学颂恩楼</w:t>
      </w:r>
      <w:r>
        <w:rPr>
          <w:rFonts w:hint="eastAsia" w:ascii="宋体" w:hAnsi="宋体"/>
          <w:sz w:val="28"/>
          <w:szCs w:val="28"/>
          <w:highlight w:val="none"/>
          <w:lang w:val="en-US" w:eastAsia="zh-CN"/>
        </w:rPr>
        <w:t>615</w:t>
      </w:r>
      <w:r>
        <w:rPr>
          <w:rFonts w:hint="eastAsia" w:ascii="宋体" w:hAnsi="宋体"/>
          <w:sz w:val="28"/>
          <w:szCs w:val="28"/>
          <w:highlight w:val="none"/>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hint="eastAsia" w:ascii="宋体" w:hAnsi="宋体"/>
          <w:sz w:val="28"/>
          <w:szCs w:val="28"/>
        </w:rPr>
      </w:pPr>
      <w:r>
        <w:rPr>
          <w:rFonts w:hint="eastAsia" w:ascii="宋体" w:hAnsi="宋体"/>
          <w:sz w:val="28"/>
          <w:szCs w:val="28"/>
        </w:rPr>
        <w:t>技术需求方面请联系用户单位：</w:t>
      </w:r>
      <w:r>
        <w:rPr>
          <w:rFonts w:hint="eastAsia" w:ascii="宋体" w:hAnsi="宋体"/>
          <w:sz w:val="28"/>
          <w:szCs w:val="28"/>
          <w:lang w:val="en-US" w:eastAsia="zh-CN"/>
        </w:rPr>
        <w:t xml:space="preserve"> </w:t>
      </w:r>
      <w:r>
        <w:rPr>
          <w:rFonts w:hint="eastAsia" w:ascii="宋体" w:hAnsi="宋体"/>
          <w:sz w:val="28"/>
          <w:szCs w:val="28"/>
          <w:highlight w:val="none"/>
          <w:lang w:val="en-US" w:eastAsia="zh-CN"/>
        </w:rPr>
        <w:t>李老师 13057688266</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lang w:val="en-US" w:eastAsia="zh-CN"/>
        </w:rPr>
        <w:t>贺</w:t>
      </w:r>
      <w:r>
        <w:rPr>
          <w:rFonts w:hint="eastAsia" w:ascii="宋体" w:hAnsi="宋体"/>
          <w:sz w:val="28"/>
          <w:szCs w:val="28"/>
        </w:rPr>
        <w:t>老师</w:t>
      </w:r>
      <w:r>
        <w:rPr>
          <w:rFonts w:ascii="宋体" w:hAnsi="宋体"/>
          <w:sz w:val="28"/>
          <w:szCs w:val="28"/>
        </w:rPr>
        <w:t xml:space="preserve"> </w:t>
      </w:r>
      <w:r>
        <w:rPr>
          <w:rFonts w:hint="eastAsia" w:ascii="宋体" w:hAnsi="宋体"/>
          <w:sz w:val="28"/>
          <w:szCs w:val="28"/>
        </w:rPr>
        <w:t>059</w:t>
      </w:r>
      <w:bookmarkStart w:id="13" w:name="_GoBack"/>
      <w:bookmarkEnd w:id="13"/>
      <w:r>
        <w:rPr>
          <w:rFonts w:hint="eastAsia" w:ascii="宋体" w:hAnsi="宋体"/>
          <w:sz w:val="28"/>
          <w:szCs w:val="28"/>
        </w:rPr>
        <w:t>2-2882502</w:t>
      </w:r>
    </w:p>
    <w:p>
      <w:pPr>
        <w:spacing w:line="360" w:lineRule="auto"/>
        <w:ind w:right="560" w:firstLine="1120" w:firstLineChars="400"/>
        <w:jc w:val="both"/>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HYPERLINK "mailto:zyhe@xmu.edu.cn" </w:instrText>
      </w:r>
      <w:r>
        <w:rPr>
          <w:rFonts w:hint="eastAsia" w:ascii="宋体" w:hAnsi="宋体"/>
          <w:sz w:val="28"/>
          <w:szCs w:val="28"/>
        </w:rPr>
        <w:fldChar w:fldCharType="separate"/>
      </w:r>
      <w:r>
        <w:rPr>
          <w:rStyle w:val="14"/>
          <w:rFonts w:hint="eastAsia" w:ascii="宋体" w:hAnsi="宋体"/>
          <w:sz w:val="28"/>
          <w:szCs w:val="28"/>
        </w:rPr>
        <w:t>zyhe@xmu.edu.cn</w:t>
      </w:r>
      <w:r>
        <w:rPr>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19</w:t>
      </w:r>
      <w:r>
        <w:rPr>
          <w:rFonts w:hint="eastAsia" w:ascii="宋体" w:hAnsi="宋体"/>
          <w:sz w:val="28"/>
          <w:szCs w:val="28"/>
          <w:highlight w:val="none"/>
        </w:rPr>
        <w:t>日</w:t>
      </w:r>
    </w:p>
    <w:p>
      <w:pPr>
        <w:ind w:firstLine="640" w:firstLineChars="200"/>
        <w:jc w:val="cente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4"/>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4"/>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4"/>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0"/>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36"/>
        <w:gridCol w:w="912"/>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13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12"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14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36" w:type="dxa"/>
            <w:shd w:val="clear" w:color="000000" w:fill="FFFFFF"/>
            <w:vAlign w:val="center"/>
          </w:tcPr>
          <w:p>
            <w:pPr>
              <w:widowControl/>
              <w:jc w:val="center"/>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窄线宽中红外连续波可调谐激光器</w:t>
            </w:r>
          </w:p>
        </w:tc>
        <w:tc>
          <w:tcPr>
            <w:tcW w:w="912" w:type="dxa"/>
            <w:shd w:val="clear" w:color="000000" w:fill="FFFFFF"/>
            <w:vAlign w:val="center"/>
          </w:tcPr>
          <w:p>
            <w:pPr>
              <w:widowControl/>
              <w:jc w:val="center"/>
              <w:rPr>
                <w:rFonts w:ascii="宋体" w:hAnsi="宋体"/>
                <w:kern w:val="0"/>
                <w:sz w:val="24"/>
                <w:szCs w:val="24"/>
                <w:highlight w:val="none"/>
              </w:rPr>
            </w:pPr>
            <w:r>
              <w:rPr>
                <w:rFonts w:hint="eastAsia" w:ascii="宋体" w:hAnsi="宋体"/>
                <w:kern w:val="0"/>
                <w:sz w:val="24"/>
                <w:szCs w:val="24"/>
                <w:highlight w:val="none"/>
              </w:rPr>
              <w:t>1套</w:t>
            </w:r>
          </w:p>
        </w:tc>
        <w:tc>
          <w:tcPr>
            <w:tcW w:w="4146" w:type="dxa"/>
            <w:shd w:val="clear" w:color="000000" w:fill="FFFFFF"/>
            <w:vAlign w:val="center"/>
          </w:tcPr>
          <w:p>
            <w:pPr>
              <w:jc w:val="left"/>
              <w:rPr>
                <w:sz w:val="24"/>
              </w:rPr>
            </w:pPr>
            <w:r>
              <w:rPr>
                <w:rFonts w:hint="eastAsia" w:ascii="宋体" w:hAnsi="宋体"/>
                <w:sz w:val="24"/>
              </w:rPr>
              <w:t>1</w:t>
            </w:r>
            <w:r>
              <w:rPr>
                <w:rFonts w:ascii="宋体" w:hAnsi="宋体"/>
                <w:sz w:val="24"/>
              </w:rPr>
              <w:t>.</w:t>
            </w:r>
            <w:r>
              <w:rPr>
                <w:rFonts w:hint="eastAsia"/>
                <w:sz w:val="24"/>
              </w:rPr>
              <w:t xml:space="preserve"> *输出功率：</w:t>
            </w:r>
            <w:r>
              <w:rPr>
                <w:rFonts w:hint="eastAsia"/>
                <w:sz w:val="24"/>
              </w:rPr>
              <w:tab/>
            </w:r>
            <w:r>
              <w:rPr>
                <w:sz w:val="24"/>
              </w:rPr>
              <w:t>1</w:t>
            </w:r>
            <w:r>
              <w:rPr>
                <w:rFonts w:hint="eastAsia"/>
                <w:sz w:val="24"/>
              </w:rPr>
              <w:t>W@3.</w:t>
            </w:r>
            <w:r>
              <w:rPr>
                <w:sz w:val="24"/>
              </w:rPr>
              <w:t>4</w:t>
            </w:r>
            <w:r>
              <w:rPr>
                <w:rFonts w:hint="eastAsia"/>
                <w:sz w:val="24"/>
              </w:rPr>
              <w:t xml:space="preserve">µm </w:t>
            </w:r>
          </w:p>
          <w:p>
            <w:pPr>
              <w:jc w:val="left"/>
              <w:rPr>
                <w:sz w:val="24"/>
              </w:rPr>
            </w:pPr>
            <w:r>
              <w:rPr>
                <w:rFonts w:hint="eastAsia" w:ascii="宋体" w:hAnsi="宋体"/>
                <w:sz w:val="24"/>
              </w:rPr>
              <w:t>2</w:t>
            </w:r>
            <w:r>
              <w:rPr>
                <w:rFonts w:ascii="宋体" w:hAnsi="宋体"/>
                <w:sz w:val="24"/>
              </w:rPr>
              <w:t>.</w:t>
            </w:r>
            <w:r>
              <w:rPr>
                <w:rFonts w:hint="eastAsia"/>
                <w:sz w:val="24"/>
              </w:rPr>
              <w:t xml:space="preserve"> *波长调谐范围：</w:t>
            </w:r>
            <w:r>
              <w:rPr>
                <w:sz w:val="24"/>
              </w:rPr>
              <w:t>1.4</w:t>
            </w:r>
            <w:r>
              <w:rPr>
                <w:rFonts w:hint="eastAsia"/>
                <w:sz w:val="24"/>
              </w:rPr>
              <w:t xml:space="preserve"> µm-4.</w:t>
            </w:r>
            <w:r>
              <w:rPr>
                <w:sz w:val="24"/>
              </w:rPr>
              <w:t>3</w:t>
            </w:r>
            <w:r>
              <w:rPr>
                <w:rFonts w:hint="eastAsia"/>
                <w:sz w:val="24"/>
              </w:rPr>
              <w:t xml:space="preserve"> µm</w:t>
            </w:r>
          </w:p>
          <w:p>
            <w:pPr>
              <w:jc w:val="left"/>
              <w:rPr>
                <w:sz w:val="24"/>
              </w:rPr>
            </w:pPr>
            <w:r>
              <w:rPr>
                <w:rFonts w:hint="eastAsia" w:ascii="宋体" w:hAnsi="宋体"/>
                <w:sz w:val="24"/>
              </w:rPr>
              <w:t>3</w:t>
            </w:r>
            <w:r>
              <w:rPr>
                <w:rFonts w:ascii="宋体" w:hAnsi="宋体"/>
                <w:sz w:val="24"/>
              </w:rPr>
              <w:t>.</w:t>
            </w:r>
            <w:r>
              <w:rPr>
                <w:rFonts w:hint="eastAsia"/>
                <w:sz w:val="24"/>
              </w:rPr>
              <w:t xml:space="preserve"> *线宽：&lt;</w:t>
            </w:r>
            <w:r>
              <w:rPr>
                <w:sz w:val="24"/>
              </w:rPr>
              <w:t>10M</w:t>
            </w:r>
            <w:r>
              <w:rPr>
                <w:rFonts w:hint="eastAsia"/>
                <w:sz w:val="24"/>
              </w:rPr>
              <w:t>Hz</w:t>
            </w:r>
          </w:p>
          <w:p>
            <w:pPr>
              <w:jc w:val="left"/>
              <w:rPr>
                <w:sz w:val="24"/>
              </w:rPr>
            </w:pPr>
            <w:r>
              <w:rPr>
                <w:rFonts w:hint="eastAsia" w:ascii="宋体" w:hAnsi="宋体"/>
                <w:sz w:val="24"/>
              </w:rPr>
              <w:t>4</w:t>
            </w:r>
            <w:r>
              <w:rPr>
                <w:rFonts w:ascii="宋体" w:hAnsi="宋体"/>
                <w:sz w:val="24"/>
              </w:rPr>
              <w:t>.</w:t>
            </w:r>
            <w:r>
              <w:rPr>
                <w:rFonts w:hint="eastAsia"/>
                <w:sz w:val="24"/>
              </w:rPr>
              <w:t xml:space="preserve"> *无跳模调谐范围：</w:t>
            </w:r>
            <w:r>
              <w:rPr>
                <w:sz w:val="24"/>
              </w:rPr>
              <w:t>300GHz</w:t>
            </w:r>
          </w:p>
          <w:p>
            <w:pPr>
              <w:jc w:val="left"/>
              <w:rPr>
                <w:sz w:val="24"/>
              </w:rPr>
            </w:pPr>
            <w:r>
              <w:rPr>
                <w:sz w:val="24"/>
              </w:rPr>
              <w:t>5.</w:t>
            </w:r>
            <w:r>
              <w:rPr>
                <w:rFonts w:hint="eastAsia" w:ascii="宋体" w:hAnsi="宋体"/>
                <w:sz w:val="24"/>
              </w:rPr>
              <w:t>Δ</w:t>
            </w:r>
            <w:r>
              <w:rPr>
                <w:rFonts w:hint="eastAsia"/>
                <w:sz w:val="24"/>
              </w:rPr>
              <w:t>无调模调谐速度：1</w:t>
            </w:r>
            <w:r>
              <w:rPr>
                <w:sz w:val="24"/>
              </w:rPr>
              <w:t>00</w:t>
            </w:r>
            <w:r>
              <w:rPr>
                <w:rFonts w:hint="eastAsia"/>
                <w:sz w:val="24"/>
              </w:rPr>
              <w:t>G</w:t>
            </w:r>
            <w:r>
              <w:rPr>
                <w:sz w:val="24"/>
              </w:rPr>
              <w:t>Hz/s</w:t>
            </w:r>
          </w:p>
          <w:p>
            <w:pPr>
              <w:jc w:val="left"/>
              <w:rPr>
                <w:sz w:val="24"/>
              </w:rPr>
            </w:pPr>
            <w:r>
              <w:rPr>
                <w:sz w:val="24"/>
              </w:rPr>
              <w:t>6.</w:t>
            </w:r>
            <w:r>
              <w:rPr>
                <w:rFonts w:hint="eastAsia" w:ascii="宋体" w:hAnsi="宋体"/>
                <w:sz w:val="24"/>
              </w:rPr>
              <w:t>Δ</w:t>
            </w:r>
            <w:r>
              <w:rPr>
                <w:rFonts w:hint="eastAsia"/>
                <w:sz w:val="24"/>
              </w:rPr>
              <w:t>波长漂移：&lt;</w:t>
            </w:r>
            <w:r>
              <w:rPr>
                <w:sz w:val="24"/>
              </w:rPr>
              <w:t>1GMHz/h</w:t>
            </w:r>
          </w:p>
          <w:p>
            <w:pPr>
              <w:jc w:val="left"/>
              <w:rPr>
                <w:sz w:val="24"/>
              </w:rPr>
            </w:pPr>
            <w:r>
              <w:rPr>
                <w:sz w:val="24"/>
              </w:rPr>
              <w:t>7.</w:t>
            </w:r>
            <w:r>
              <w:rPr>
                <w:rFonts w:hint="eastAsia" w:ascii="宋体" w:hAnsi="宋体"/>
                <w:sz w:val="24"/>
              </w:rPr>
              <w:t>Δ</w:t>
            </w:r>
            <w:r>
              <w:rPr>
                <w:rFonts w:hint="eastAsia"/>
                <w:sz w:val="24"/>
              </w:rPr>
              <w:t>光束质量：</w:t>
            </w:r>
            <w:r>
              <w:rPr>
                <w:rFonts w:hint="eastAsia"/>
                <w:sz w:val="24"/>
              </w:rPr>
              <w:tab/>
            </w:r>
            <w:r>
              <w:rPr>
                <w:rFonts w:hint="eastAsia"/>
                <w:sz w:val="24"/>
              </w:rPr>
              <w:t>M</w:t>
            </w:r>
            <w:r>
              <w:rPr>
                <w:rFonts w:hint="eastAsia"/>
                <w:sz w:val="24"/>
                <w:vertAlign w:val="superscript"/>
              </w:rPr>
              <w:t>2</w:t>
            </w:r>
            <w:r>
              <w:rPr>
                <w:rFonts w:hint="eastAsia"/>
                <w:sz w:val="24"/>
              </w:rPr>
              <w:t>≤</w:t>
            </w:r>
            <w:r>
              <w:rPr>
                <w:sz w:val="24"/>
              </w:rPr>
              <w:t>1.5</w:t>
            </w:r>
          </w:p>
          <w:p>
            <w:pPr>
              <w:jc w:val="left"/>
              <w:rPr>
                <w:sz w:val="24"/>
              </w:rPr>
            </w:pPr>
            <w:r>
              <w:rPr>
                <w:rFonts w:hint="eastAsia"/>
                <w:sz w:val="24"/>
              </w:rPr>
              <w:t>8</w:t>
            </w:r>
            <w:r>
              <w:rPr>
                <w:sz w:val="24"/>
              </w:rPr>
              <w:t xml:space="preserve">. </w:t>
            </w:r>
            <w:r>
              <w:rPr>
                <w:rFonts w:hint="eastAsia"/>
                <w:sz w:val="24"/>
              </w:rPr>
              <w:t>偏振：</w:t>
            </w:r>
            <w:r>
              <w:rPr>
                <w:rFonts w:hint="eastAsia"/>
                <w:sz w:val="24"/>
              </w:rPr>
              <w:tab/>
            </w:r>
            <w:r>
              <w:rPr>
                <w:rFonts w:hint="eastAsia"/>
                <w:sz w:val="24"/>
              </w:rPr>
              <w:t>线偏振</w:t>
            </w:r>
          </w:p>
          <w:p>
            <w:pPr>
              <w:rPr>
                <w:sz w:val="24"/>
              </w:rPr>
            </w:pPr>
            <w:r>
              <w:rPr>
                <w:rFonts w:hint="eastAsia"/>
                <w:sz w:val="24"/>
              </w:rPr>
              <w:t>9</w:t>
            </w:r>
            <w:r>
              <w:rPr>
                <w:sz w:val="24"/>
              </w:rPr>
              <w:t xml:space="preserve">. </w:t>
            </w:r>
            <w:r>
              <w:rPr>
                <w:rFonts w:hint="eastAsia"/>
                <w:sz w:val="24"/>
              </w:rPr>
              <w:t>功率稳定性：</w:t>
            </w:r>
            <w:r>
              <w:rPr>
                <w:rFonts w:hint="eastAsia"/>
                <w:sz w:val="24"/>
              </w:rPr>
              <w:tab/>
            </w:r>
            <w:r>
              <w:rPr>
                <w:rFonts w:hint="eastAsia"/>
                <w:sz w:val="24"/>
              </w:rPr>
              <w:t>≤3%rms</w:t>
            </w:r>
          </w:p>
          <w:p>
            <w:pPr>
              <w:rPr>
                <w:rFonts w:hint="default" w:eastAsia="宋体"/>
                <w:lang w:val="en-US" w:eastAsia="zh-CN"/>
              </w:rPr>
            </w:pPr>
            <w:r>
              <w:rPr>
                <w:rFonts w:hint="eastAsia"/>
                <w:sz w:val="24"/>
              </w:rPr>
              <w:t>1</w:t>
            </w:r>
            <w:r>
              <w:rPr>
                <w:sz w:val="24"/>
              </w:rPr>
              <w:t xml:space="preserve">0. </w:t>
            </w:r>
            <w:r>
              <w:rPr>
                <w:rFonts w:hint="eastAsia"/>
                <w:sz w:val="24"/>
              </w:rPr>
              <w:t>冷却方式：风冷</w:t>
            </w:r>
          </w:p>
        </w:tc>
      </w:tr>
    </w:tbl>
    <w:p>
      <w:pPr>
        <w:spacing w:line="300" w:lineRule="exact"/>
        <w:rPr>
          <w:rFonts w:hint="default" w:eastAsia="宋体"/>
          <w:b/>
          <w:bCs/>
          <w:sz w:val="28"/>
          <w:lang w:val="en-US" w:eastAsia="zh-CN"/>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r>
        <w:rPr>
          <w:rFonts w:hint="eastAsia" w:ascii="黑体" w:hAnsi="华文仿宋"/>
          <w:b/>
          <w:bCs/>
          <w:color w:val="0000FF"/>
          <w:szCs w:val="21"/>
          <w:lang w:eastAsia="zh-CN"/>
        </w:rPr>
        <w:t>，</w:t>
      </w:r>
      <w:r>
        <w:rPr>
          <w:rFonts w:hint="eastAsia" w:ascii="宋体" w:hAnsi="宋体"/>
          <w:b/>
          <w:bCs/>
          <w:color w:val="0000FF"/>
          <w:szCs w:val="21"/>
        </w:rPr>
        <w:t>★</w:t>
      </w:r>
      <w:r>
        <w:rPr>
          <w:rFonts w:hint="eastAsia" w:ascii="宋体" w:hAnsi="宋体"/>
          <w:b/>
          <w:bCs/>
          <w:color w:val="0000FF"/>
          <w:szCs w:val="21"/>
          <w:lang w:val="en-US" w:eastAsia="zh-CN"/>
        </w:rPr>
        <w:t>项的参数为必须技术参数。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非免税设备合同签订：中标供应商接到中标通知后，持中标通知书与</w:t>
      </w:r>
      <w:r>
        <w:rPr>
          <w:rFonts w:hint="eastAsia" w:ascii="Arial" w:hAnsi="宋体" w:cs="Arial"/>
          <w:sz w:val="24"/>
          <w:szCs w:val="21"/>
          <w:lang w:val="en-US" w:eastAsia="zh-CN"/>
        </w:rPr>
        <w:t>嘉庚创</w:t>
      </w:r>
      <w:r>
        <w:rPr>
          <w:rFonts w:hint="eastAsia" w:ascii="Arial" w:hAnsi="宋体" w:cs="Arial"/>
          <w:sz w:val="24"/>
          <w:szCs w:val="21"/>
          <w:highlight w:val="none"/>
          <w:lang w:val="en-US" w:eastAsia="zh-CN"/>
        </w:rPr>
        <w:t>新实验室资产采购管理室处</w:t>
      </w:r>
      <w:r>
        <w:rPr>
          <w:rFonts w:hint="eastAsia" w:ascii="Arial" w:hAnsi="宋体" w:cs="Arial"/>
          <w:sz w:val="24"/>
          <w:szCs w:val="21"/>
        </w:rPr>
        <w:t>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进口免税设备采购合同按</w:t>
      </w:r>
      <w:r>
        <w:rPr>
          <w:rFonts w:hint="eastAsia" w:ascii="Arial" w:hAnsi="宋体" w:cs="Arial"/>
          <w:sz w:val="24"/>
          <w:szCs w:val="21"/>
          <w:lang w:val="en-US" w:eastAsia="zh-CN"/>
        </w:rPr>
        <w:t>嘉庚创新实验室</w:t>
      </w:r>
      <w:r>
        <w:rPr>
          <w:rFonts w:hint="eastAsia" w:ascii="Arial" w:hAnsi="宋体" w:cs="Arial"/>
          <w:sz w:val="24"/>
          <w:szCs w:val="21"/>
        </w:rPr>
        <w:t>相关规定执行，中标单位与用户签订技术协议，由</w:t>
      </w:r>
      <w:r>
        <w:rPr>
          <w:rFonts w:hint="eastAsia" w:ascii="Arial" w:hAnsi="宋体" w:cs="Arial"/>
          <w:sz w:val="24"/>
          <w:szCs w:val="21"/>
          <w:lang w:val="en-US" w:eastAsia="zh-CN"/>
        </w:rPr>
        <w:t>嘉庚创新实验室</w:t>
      </w:r>
      <w:r>
        <w:rPr>
          <w:rFonts w:hint="eastAsia" w:ascii="Arial" w:hAnsi="宋体" w:cs="Arial"/>
          <w:sz w:val="24"/>
          <w:szCs w:val="21"/>
        </w:rPr>
        <w:t>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rFonts w:hint="default" w:eastAsia="宋体"/>
          <w:color w:val="000000"/>
          <w:sz w:val="24"/>
          <w:highlight w:val="none"/>
          <w:lang w:val="en-US" w:eastAsia="zh-CN"/>
        </w:rPr>
      </w:pPr>
      <w:r>
        <w:rPr>
          <w:rFonts w:hint="eastAsia"/>
          <w:color w:val="000000"/>
          <w:sz w:val="24"/>
          <w:highlight w:val="none"/>
        </w:rPr>
        <w:t>从中华人民共和国境内提供的货物：合同签订</w:t>
      </w:r>
      <w:r>
        <w:rPr>
          <w:rFonts w:hint="eastAsia"/>
          <w:color w:val="000000"/>
          <w:sz w:val="24"/>
          <w:highlight w:val="none"/>
          <w:lang w:val="en-US" w:eastAsia="zh-CN"/>
        </w:rPr>
        <w:t>且</w:t>
      </w:r>
      <w:r>
        <w:rPr>
          <w:rFonts w:hint="eastAsia"/>
          <w:color w:val="000000"/>
          <w:sz w:val="24"/>
          <w:highlight w:val="none"/>
        </w:rPr>
        <w:t>设备到达用户指定地点安装、调试验收合格后支付尾款</w:t>
      </w:r>
      <w:r>
        <w:rPr>
          <w:rFonts w:hint="eastAsia"/>
          <w:color w:val="000000"/>
          <w:sz w:val="24"/>
          <w:highlight w:val="none"/>
          <w:lang w:val="en-US" w:eastAsia="zh-CN"/>
        </w:rPr>
        <w:t>90%</w:t>
      </w:r>
      <w:r>
        <w:rPr>
          <w:rFonts w:hint="eastAsia"/>
          <w:color w:val="000000"/>
          <w:sz w:val="24"/>
          <w:highlight w:val="none"/>
          <w:lang w:eastAsia="zh-CN"/>
        </w:rPr>
        <w:t>，</w:t>
      </w:r>
      <w:r>
        <w:rPr>
          <w:rFonts w:hint="eastAsia"/>
          <w:color w:val="000000"/>
          <w:sz w:val="24"/>
          <w:highlight w:val="none"/>
          <w:lang w:val="en-US" w:eastAsia="zh-CN"/>
        </w:rPr>
        <w:t>10 %质保金。</w:t>
      </w:r>
    </w:p>
    <w:p>
      <w:pPr>
        <w:tabs>
          <w:tab w:val="left" w:pos="0"/>
          <w:tab w:val="left" w:pos="540"/>
        </w:tabs>
        <w:spacing w:line="360" w:lineRule="auto"/>
        <w:ind w:firstLine="480" w:firstLineChars="200"/>
        <w:rPr>
          <w:rFonts w:ascii="Arial" w:hAnsi="宋体" w:cs="Arial"/>
          <w:sz w:val="24"/>
          <w:szCs w:val="21"/>
          <w:highlight w:val="none"/>
        </w:rPr>
      </w:pPr>
      <w:r>
        <w:rPr>
          <w:rFonts w:hint="eastAsia"/>
          <w:sz w:val="24"/>
          <w:highlight w:val="none"/>
        </w:rPr>
        <w:t>从中华人民共和国境外提供的货物：</w:t>
      </w:r>
      <w:r>
        <w:rPr>
          <w:rFonts w:hint="eastAsia"/>
          <w:color w:val="000000"/>
          <w:sz w:val="24"/>
          <w:highlight w:val="none"/>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2"/>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2"/>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lang w:val="en-US" w:eastAsia="zh-CN"/>
        </w:rPr>
        <w:t>壹</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jc w:val="both"/>
        <w:rPr>
          <w:rFonts w:hint="eastAsia"/>
          <w:b/>
          <w:bCs/>
          <w:color w:val="000000"/>
          <w:sz w:val="32"/>
          <w:szCs w:val="32"/>
        </w:rPr>
      </w:pPr>
    </w:p>
    <w:p>
      <w:pPr>
        <w:ind w:firstLine="2570" w:firstLineChars="800"/>
        <w:jc w:val="both"/>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“成交供应商”指经谈判小组审查通过，资产采购管理室向其发出《成交通知书》并授予其成交合同的磋商供应商。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1"/>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1"/>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1"/>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1"/>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1"/>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rPr>
          <w:rFonts w:hint="eastAsia"/>
          <w:b/>
          <w:bCs/>
          <w:color w:val="000000"/>
          <w:sz w:val="32"/>
          <w:szCs w:val="32"/>
        </w:rPr>
      </w:pPr>
    </w:p>
    <w:p>
      <w:pPr>
        <w:spacing w:line="360" w:lineRule="auto"/>
        <w:ind w:firstLine="2249" w:firstLineChars="7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
          <w:bCs/>
          <w:color w:val="000000"/>
          <w:sz w:val="32"/>
          <w:szCs w:val="32"/>
        </w:rPr>
      </w:pPr>
      <w:r>
        <w:rPr>
          <w:b/>
          <w:bCs/>
          <w:color w:val="000000"/>
          <w:sz w:val="32"/>
          <w:szCs w:val="32"/>
        </w:rPr>
        <w:br w:type="page"/>
      </w:r>
      <w:r>
        <w:rPr>
          <w:rFonts w:hint="eastAsia"/>
          <w:b/>
          <w:bCs/>
          <w:color w:val="000000"/>
          <w:sz w:val="32"/>
          <w:szCs w:val="32"/>
        </w:rPr>
        <w:t xml:space="preserve">                 第五章、谈判文件格式</w:t>
      </w:r>
    </w:p>
    <w:p>
      <w:pPr>
        <w:spacing w:line="360" w:lineRule="auto"/>
        <w:rPr>
          <w:rFonts w:ascii="宋体"/>
          <w:sz w:val="24"/>
        </w:rPr>
      </w:pPr>
    </w:p>
    <w:p>
      <w:pPr>
        <w:spacing w:line="360" w:lineRule="auto"/>
        <w:ind w:firstLine="3219" w:firstLineChars="1073"/>
        <w:rPr>
          <w:rFonts w:ascii="宋体"/>
          <w:sz w:val="30"/>
        </w:rPr>
      </w:pPr>
      <w:r>
        <w:rPr>
          <w:rFonts w:hint="eastAsia" w:ascii="宋体" w:hAnsi="宋体"/>
          <w:sz w:val="30"/>
        </w:rPr>
        <w:t>格式</w:t>
      </w:r>
      <w:r>
        <w:rPr>
          <w:rFonts w:ascii="宋体" w:hAnsi="宋体"/>
          <w:sz w:val="30"/>
        </w:rPr>
        <w:t xml:space="preserve">1     </w:t>
      </w:r>
      <w:r>
        <w:rPr>
          <w:rFonts w:hint="eastAsia" w:ascii="宋体" w:hAnsi="宋体"/>
          <w:sz w:val="30"/>
        </w:rPr>
        <w:t>报价书</w:t>
      </w:r>
    </w:p>
    <w:p>
      <w:pPr>
        <w:spacing w:line="360" w:lineRule="auto"/>
        <w:rPr>
          <w:rFonts w:ascii="宋体"/>
          <w:u w:val="single"/>
        </w:rPr>
      </w:pPr>
      <w:r>
        <w:rPr>
          <w:rFonts w:hint="eastAsia" w:ascii="宋体" w:hAnsi="宋体"/>
        </w:rPr>
        <w:t>致</w:t>
      </w:r>
      <w:r>
        <w:rPr>
          <w:rFonts w:hint="eastAsia" w:ascii="宋体" w:hAnsi="宋体"/>
          <w:u w:val="single"/>
        </w:rPr>
        <w:t>嘉庚创新实验室资产采购管理室</w:t>
      </w:r>
    </w:p>
    <w:p>
      <w:pPr>
        <w:spacing w:line="360" w:lineRule="auto"/>
        <w:ind w:firstLine="546" w:firstLineChars="260"/>
        <w:rPr>
          <w:rFonts w:ascii="宋体"/>
        </w:rPr>
      </w:pPr>
      <w:r>
        <w:rPr>
          <w:rFonts w:hint="eastAsia" w:ascii="宋体" w:hAnsi="宋体"/>
        </w:rPr>
        <w:t>根据贵方为（采购编号）招标项目及服务的投标邀请，投标代表（全名、职务），经正式授权并代表投标人（投标人名称）按采购文件规定提交报价文件正本</w:t>
      </w:r>
      <w:r>
        <w:rPr>
          <w:rFonts w:ascii="宋体" w:hAnsi="宋体"/>
        </w:rPr>
        <w:t>1</w:t>
      </w:r>
      <w:r>
        <w:rPr>
          <w:rFonts w:hint="eastAsia" w:ascii="宋体" w:hAnsi="宋体"/>
        </w:rPr>
        <w:t>份和副本</w:t>
      </w:r>
      <w:r>
        <w:rPr>
          <w:rFonts w:ascii="宋体" w:hAnsi="宋体"/>
        </w:rPr>
        <w:t>5</w:t>
      </w:r>
      <w:r>
        <w:rPr>
          <w:rFonts w:hint="eastAsia" w:ascii="宋体" w:hAnsi="宋体"/>
        </w:rPr>
        <w:t>份。</w:t>
      </w:r>
    </w:p>
    <w:p>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rPr>
      </w:pPr>
      <w:r>
        <w:rPr>
          <w:rFonts w:ascii="宋体" w:hAnsi="宋体"/>
        </w:rPr>
        <w:t>1</w:t>
      </w:r>
      <w:r>
        <w:rPr>
          <w:rFonts w:hint="eastAsia" w:ascii="宋体" w:hAnsi="宋体"/>
        </w:rPr>
        <w:t>、投标人将按采购文件规定履行合同责任和义务。</w:t>
      </w:r>
    </w:p>
    <w:p>
      <w:pPr>
        <w:spacing w:line="360" w:lineRule="auto"/>
        <w:rPr>
          <w:rFonts w:ascii="宋体"/>
        </w:rPr>
      </w:pPr>
      <w:r>
        <w:rPr>
          <w:rFonts w:ascii="宋体" w:hAnsi="宋体"/>
        </w:rPr>
        <w:t>2</w:t>
      </w:r>
      <w:r>
        <w:rPr>
          <w:rFonts w:hint="eastAsia" w:ascii="宋体" w:hAnsi="宋体"/>
        </w:rPr>
        <w:t>、投标人已详细审查全部采购文件，包括修改文件（如有的话）以及全部参考资料和相关附件。我们完全理解并同意放弃对这方面有不明及误解的权利。</w:t>
      </w:r>
    </w:p>
    <w:p>
      <w:pPr>
        <w:spacing w:line="360" w:lineRule="auto"/>
        <w:rPr>
          <w:rFonts w:ascii="宋体"/>
        </w:rPr>
      </w:pPr>
      <w:r>
        <w:rPr>
          <w:rFonts w:ascii="宋体" w:hAnsi="宋体"/>
        </w:rPr>
        <w:t>3</w:t>
      </w:r>
      <w:r>
        <w:rPr>
          <w:rFonts w:hint="eastAsia" w:ascii="宋体" w:hAnsi="宋体"/>
        </w:rPr>
        <w:t>、投标自开标之日起有效期为</w:t>
      </w:r>
      <w:r>
        <w:rPr>
          <w:rFonts w:ascii="宋体" w:hAnsi="宋体"/>
        </w:rPr>
        <w:t>90</w:t>
      </w:r>
      <w:r>
        <w:rPr>
          <w:rFonts w:hint="eastAsia" w:ascii="宋体" w:hAnsi="宋体"/>
        </w:rPr>
        <w:t>个日历日。</w:t>
      </w:r>
    </w:p>
    <w:p>
      <w:pPr>
        <w:spacing w:line="360" w:lineRule="auto"/>
        <w:rPr>
          <w:rFonts w:ascii="宋体"/>
        </w:rPr>
      </w:pPr>
      <w:r>
        <w:rPr>
          <w:rFonts w:ascii="宋体" w:hAnsi="宋体"/>
        </w:rPr>
        <w:t>4</w:t>
      </w:r>
      <w:r>
        <w:rPr>
          <w:rFonts w:hint="eastAsia" w:ascii="宋体" w:hAnsi="宋体"/>
        </w:rPr>
        <w:t>、投标人同意提供按照招标人可能要求的与投标有关的一切数据或资料，完全理解招标人不一定要接受最低价的投标或收到的任何投标。</w:t>
      </w:r>
    </w:p>
    <w:p>
      <w:pPr>
        <w:spacing w:line="360" w:lineRule="auto"/>
        <w:rPr>
          <w:rFonts w:ascii="宋体"/>
        </w:rPr>
      </w:pPr>
      <w:r>
        <w:rPr>
          <w:rFonts w:ascii="宋体" w:hAnsi="宋体"/>
        </w:rPr>
        <w:t>5</w:t>
      </w:r>
      <w:r>
        <w:rPr>
          <w:rFonts w:hint="eastAsia" w:ascii="宋体" w:hAnsi="宋体"/>
        </w:rPr>
        <w:t>、与采购有关的一切正式往来通讯，请寄：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30"/>
        </w:rPr>
        <w:t>格式</w:t>
      </w:r>
      <w:r>
        <w:rPr>
          <w:rFonts w:ascii="宋体" w:hAnsi="宋体"/>
          <w:sz w:val="30"/>
        </w:rPr>
        <w:t xml:space="preserve">2    </w:t>
      </w:r>
      <w:r>
        <w:rPr>
          <w:rFonts w:hint="eastAsia" w:ascii="宋体" w:hAnsi="宋体"/>
          <w:sz w:val="30"/>
        </w:rPr>
        <w:t>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2019" w:firstLineChars="673"/>
        <w:rPr>
          <w:rFonts w:ascii="宋体" w:hAnsi="宋体"/>
          <w:color w:val="000000"/>
        </w:rPr>
      </w:pPr>
      <w:r>
        <w:rPr>
          <w:rFonts w:hint="eastAsia" w:ascii="宋体" w:hAnsi="宋体"/>
          <w:sz w:val="30"/>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5"/>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5"/>
        <w:tabs>
          <w:tab w:val="left" w:pos="0"/>
          <w:tab w:val="left" w:pos="735"/>
        </w:tabs>
        <w:spacing w:line="360" w:lineRule="auto"/>
        <w:ind w:firstLine="365" w:firstLineChars="174"/>
      </w:pPr>
      <w:r>
        <w:rPr>
          <w:rFonts w:hint="eastAsia"/>
        </w:rPr>
        <w:t>报价人全称（加盖公章）</w:t>
      </w:r>
      <w:r>
        <w:rPr>
          <w:rFonts w:hint="eastAsia"/>
          <w:u w:val="single"/>
        </w:rPr>
        <w:t xml:space="preserve">                     </w:t>
      </w:r>
      <w:r>
        <w:rPr>
          <w:rFonts w:hint="eastAsia"/>
        </w:rPr>
        <w:t xml:space="preserve">  </w:t>
      </w:r>
    </w:p>
    <w:p>
      <w:pPr>
        <w:pStyle w:val="5"/>
        <w:tabs>
          <w:tab w:val="left" w:pos="0"/>
          <w:tab w:val="left" w:pos="735"/>
        </w:tabs>
        <w:spacing w:line="360" w:lineRule="auto"/>
        <w:ind w:firstLine="365" w:firstLineChars="174"/>
        <w:rPr>
          <w:u w:val="single"/>
        </w:rPr>
      </w:pPr>
      <w:r>
        <w:rPr>
          <w:rFonts w:hint="eastAsia"/>
          <w:u w:val="single"/>
        </w:rPr>
        <w:t xml:space="preserve">合同包：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5"/>
        <w:tabs>
          <w:tab w:val="left" w:pos="0"/>
          <w:tab w:val="left" w:pos="735"/>
        </w:tabs>
        <w:spacing w:line="360" w:lineRule="auto"/>
        <w:rPr>
          <w:rFonts w:hAnsi="宋体"/>
        </w:rPr>
      </w:pPr>
    </w:p>
    <w:p>
      <w:pPr>
        <w:pStyle w:val="5"/>
        <w:tabs>
          <w:tab w:val="left" w:pos="0"/>
          <w:tab w:val="left" w:pos="735"/>
        </w:tabs>
        <w:spacing w:line="360" w:lineRule="auto"/>
      </w:pPr>
    </w:p>
    <w:p>
      <w:pPr>
        <w:pStyle w:val="5"/>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5"/>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5"/>
        <w:tabs>
          <w:tab w:val="left" w:pos="0"/>
          <w:tab w:val="left" w:pos="735"/>
        </w:tabs>
        <w:spacing w:line="360" w:lineRule="auto"/>
        <w:rPr>
          <w:u w:val="single"/>
        </w:rPr>
      </w:pPr>
    </w:p>
    <w:p>
      <w:pPr>
        <w:pStyle w:val="4"/>
        <w:snapToGrid w:val="0"/>
        <w:spacing w:line="400" w:lineRule="exact"/>
        <w:ind w:firstLine="480" w:firstLineChars="200"/>
        <w:jc w:val="left"/>
        <w:rPr>
          <w:rFonts w:hAnsi="宋体"/>
          <w:sz w:val="24"/>
          <w:u w:val="single"/>
        </w:rPr>
      </w:pPr>
      <w:r>
        <w:rPr>
          <w:rFonts w:hint="eastAsia" w:hAnsi="宋体"/>
          <w:sz w:val="24"/>
          <w:u w:val="single"/>
        </w:rPr>
        <w:t>嘉庚创新实验室资产采购管理室:</w:t>
      </w:r>
    </w:p>
    <w:p>
      <w:pPr>
        <w:pStyle w:val="4"/>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4"/>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4"/>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4"/>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4"/>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4"/>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4"/>
        <w:snapToGrid w:val="0"/>
        <w:spacing w:line="400" w:lineRule="exact"/>
        <w:ind w:firstLine="480" w:firstLineChars="200"/>
        <w:jc w:val="left"/>
        <w:rPr>
          <w:rFonts w:hAnsi="宋体"/>
          <w:sz w:val="24"/>
        </w:rPr>
      </w:pPr>
      <w:r>
        <w:rPr>
          <w:rFonts w:hint="eastAsia" w:hAnsi="宋体"/>
          <w:sz w:val="24"/>
        </w:rPr>
        <w:t xml:space="preserve">投标人名称：                               </w:t>
      </w:r>
    </w:p>
    <w:p>
      <w:pPr>
        <w:pStyle w:val="4"/>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4"/>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rFonts w:ascii="宋体"/>
          <w:sz w:val="24"/>
        </w:rPr>
      </w:pPr>
      <w:r>
        <w:rPr>
          <w:rFonts w:hint="eastAsia" w:ascii="宋体" w:hAnsi="宋体"/>
          <w:sz w:val="24"/>
        </w:rPr>
        <w:t>日     期：</w:t>
      </w:r>
    </w:p>
    <w:p>
      <w:pPr>
        <w:spacing w:line="360" w:lineRule="auto"/>
        <w:ind w:firstLine="570"/>
        <w:jc w:val="center"/>
        <w:rPr>
          <w:bCs/>
          <w:sz w:val="28"/>
        </w:rPr>
      </w:pP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4"/>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4"/>
        <w:snapToGrid w:val="0"/>
        <w:spacing w:line="400" w:lineRule="exact"/>
        <w:ind w:firstLine="480" w:firstLineChars="200"/>
        <w:jc w:val="left"/>
        <w:rPr>
          <w:rFonts w:hAnsi="宋体"/>
          <w:sz w:val="24"/>
        </w:rPr>
      </w:pPr>
      <w:r>
        <w:rPr>
          <w:rFonts w:hint="eastAsia" w:hAnsi="宋体"/>
          <w:sz w:val="24"/>
        </w:rPr>
        <w:t>本授权书自出具之日起生效。</w:t>
      </w:r>
    </w:p>
    <w:p>
      <w:pPr>
        <w:pStyle w:val="4"/>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38290496"/>
      <w:bookmarkStart w:id="1" w:name="_Toc184550797"/>
      <w:bookmarkStart w:id="2" w:name="_Toc184176484"/>
      <w:bookmarkStart w:id="3" w:name="_Toc323741898"/>
      <w:bookmarkStart w:id="4" w:name="_Toc256416592"/>
      <w:r>
        <w:rPr>
          <w:rFonts w:hint="eastAsia"/>
          <w:sz w:val="24"/>
        </w:rPr>
        <w:t>附：被授权人身份证件</w:t>
      </w:r>
    </w:p>
    <w:p>
      <w:pPr>
        <w:pStyle w:val="25"/>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5"/>
              <w:rPr>
                <w:sz w:val="32"/>
              </w:rPr>
            </w:pPr>
            <w:bookmarkStart w:id="5" w:name="_Toc415124198"/>
            <w:bookmarkStart w:id="6" w:name="_Toc418491550"/>
            <w:bookmarkStart w:id="7" w:name="_Toc43303712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5"/>
              <w:rPr>
                <w:sz w:val="32"/>
              </w:rPr>
            </w:pPr>
            <w:bookmarkStart w:id="9" w:name="_Toc433037129"/>
            <w:bookmarkStart w:id="10" w:name="_Toc415124367"/>
            <w:bookmarkStart w:id="11" w:name="_Toc415124199"/>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5"/>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rFonts w:hint="eastAsia"/>
          <w:bCs/>
          <w:sz w:val="28"/>
        </w:rPr>
      </w:pPr>
      <w:r>
        <w:rPr>
          <w:rFonts w:hint="eastAsia"/>
          <w:bCs/>
          <w:sz w:val="28"/>
        </w:rPr>
        <w:t>格式1</w:t>
      </w:r>
      <w:r>
        <w:rPr>
          <w:rFonts w:hint="eastAsia"/>
          <w:bCs/>
          <w:sz w:val="28"/>
          <w:lang w:val="en-US" w:eastAsia="zh-CN"/>
        </w:rPr>
        <w:t>0</w:t>
      </w:r>
      <w:r>
        <w:rPr>
          <w:rFonts w:hint="eastAsia"/>
          <w:bCs/>
          <w:sz w:val="28"/>
        </w:rPr>
        <w:t xml:space="preserve">  合同书</w:t>
      </w:r>
    </w:p>
    <w:tbl>
      <w:tblPr>
        <w:tblStyle w:val="11"/>
        <w:tblW w:w="8099"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tLeast"/>
              <w:jc w:val="left"/>
              <w:rPr>
                <w:rFonts w:ascii="宋体" w:hAnsi="宋体" w:cs="宋体"/>
                <w:color w:val="000000"/>
                <w:kern w:val="0"/>
                <w:szCs w:val="21"/>
              </w:rPr>
            </w:pPr>
            <w:r>
              <w:rPr>
                <w:rFonts w:hint="eastAsia" w:ascii="宋体" w:hAnsi="宋体" w:cs="宋体"/>
                <w:color w:val="000000"/>
                <w:kern w:val="0"/>
                <w:sz w:val="24"/>
              </w:rPr>
              <w:t>注释：</w:t>
            </w:r>
          </w:p>
          <w:p>
            <w:pPr>
              <w:widowControl/>
              <w:spacing w:line="36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hAnsi="宋体" w:cs="宋体"/>
                <w:color w:val="000000"/>
                <w:kern w:val="0"/>
                <w:szCs w:val="21"/>
              </w:rPr>
            </w:pPr>
            <w:r>
              <w:rPr>
                <w:rFonts w:hint="eastAsia" w:ascii="宋体" w:hAnsi="宋体" w:cs="宋体"/>
                <w:color w:val="000000"/>
                <w:kern w:val="0"/>
                <w:szCs w:val="21"/>
              </w:rPr>
              <w:t> </w:t>
            </w:r>
          </w:p>
        </w:tc>
      </w:tr>
    </w:tbl>
    <w:p>
      <w:pPr>
        <w:widowControl/>
        <w:shd w:val="clear" w:color="auto" w:fill="FFFFFF"/>
        <w:wordWrap w:val="0"/>
        <w:spacing w:line="420" w:lineRule="atLeast"/>
        <w:jc w:val="right"/>
        <w:rPr>
          <w:rFonts w:ascii="宋体" w:hAnsi="宋体" w:cs="宋体"/>
          <w:color w:val="000000"/>
          <w:kern w:val="0"/>
          <w:szCs w:val="21"/>
        </w:rPr>
      </w:pPr>
      <w:r>
        <w:rPr>
          <w:rFonts w:hint="eastAsia" w:ascii="宋体" w:hAnsi="宋体" w:cs="宋体"/>
          <w:color w:val="000000"/>
          <w:kern w:val="0"/>
          <w:szCs w:val="21"/>
        </w:rPr>
        <w:t>嘉庚实验室</w:t>
      </w:r>
      <w:r>
        <w:rPr>
          <w:rFonts w:hint="eastAsia" w:ascii="宋体" w:hAnsi="宋体" w:cs="宋体"/>
          <w:color w:val="000000"/>
          <w:kern w:val="0"/>
          <w:sz w:val="24"/>
        </w:rPr>
        <w:t>合同号：</w:t>
      </w:r>
      <w:r>
        <w:rPr>
          <w:rFonts w:ascii="宋体" w:hAnsi="宋体" w:cs="宋体"/>
          <w:color w:val="000000"/>
          <w:kern w:val="0"/>
          <w:sz w:val="24"/>
          <w:u w:val="single"/>
        </w:rPr>
        <w:t xml:space="preserve">         </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甲方(采购人)：嘉庚创新实验室             签订地点：福建省厦门市</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乙方（中标人）：</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签订日期：      年     月     日</w:t>
      </w:r>
    </w:p>
    <w:p>
      <w:pPr>
        <w:widowControl/>
        <w:shd w:val="clear" w:color="auto" w:fill="FFFFFF"/>
        <w:spacing w:line="44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根据甲方</w:t>
      </w:r>
      <w:r>
        <w:rPr>
          <w:rFonts w:hint="eastAsia" w:ascii="宋体" w:hAnsi="宋体" w:cs="宋体"/>
          <w:color w:val="000000"/>
          <w:kern w:val="0"/>
          <w:sz w:val="24"/>
          <w:u w:val="single"/>
        </w:rPr>
        <w:t xml:space="preserve">         </w:t>
      </w:r>
      <w:r>
        <w:rPr>
          <w:rFonts w:hint="eastAsia" w:ascii="宋体" w:hAnsi="宋体" w:cs="宋体"/>
          <w:color w:val="000000"/>
          <w:kern w:val="0"/>
          <w:sz w:val="24"/>
        </w:rPr>
        <w:t>进行招标采购（招标编号：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）的招标结果，乙方为中标人，现依照招标文件、投标文件及有关法律、法规、规章规定的内容，双方达成如下协议：</w:t>
      </w:r>
    </w:p>
    <w:p>
      <w:pPr>
        <w:widowControl/>
        <w:shd w:val="clear" w:color="auto" w:fill="FFFFFF"/>
        <w:spacing w:line="440" w:lineRule="atLeast"/>
        <w:ind w:firstLine="482" w:firstLineChars="200"/>
        <w:jc w:val="left"/>
        <w:rPr>
          <w:rFonts w:hint="eastAsia" w:ascii="宋体" w:hAnsi="宋体" w:cs="宋体"/>
          <w:b/>
          <w:color w:val="FF0000"/>
          <w:kern w:val="0"/>
          <w:sz w:val="24"/>
        </w:rPr>
      </w:pPr>
      <w:r>
        <w:rPr>
          <w:rFonts w:hint="eastAsia" w:ascii="宋体" w:hAnsi="宋体" w:cs="宋体"/>
          <w:b/>
          <w:bCs/>
          <w:color w:val="000000"/>
          <w:kern w:val="0"/>
          <w:sz w:val="24"/>
          <w:lang w:val="en-US" w:eastAsia="zh-CN"/>
        </w:rPr>
        <w:t xml:space="preserve">第一条 </w:t>
      </w:r>
      <w:r>
        <w:rPr>
          <w:rFonts w:hint="eastAsia" w:ascii="宋体" w:hAnsi="宋体" w:cs="宋体"/>
          <w:b/>
          <w:bCs/>
          <w:color w:val="000000"/>
          <w:kern w:val="0"/>
          <w:sz w:val="24"/>
        </w:rPr>
        <w:t>合同标的和合同价格</w:t>
      </w:r>
      <w:r>
        <w:rPr>
          <w:rFonts w:hint="eastAsia" w:ascii="宋体" w:hAnsi="宋体" w:cs="宋体"/>
          <w:b/>
          <w:color w:val="FF0000"/>
          <w:kern w:val="0"/>
          <w:sz w:val="24"/>
        </w:rPr>
        <w:t>（详细参数、质量要求见技术协议）</w:t>
      </w:r>
    </w:p>
    <w:tbl>
      <w:tblPr>
        <w:tblStyle w:val="11"/>
        <w:tblpPr w:leftFromText="180" w:rightFromText="180" w:vertAnchor="text" w:horzAnchor="margin" w:tblpXSpec="center" w:tblpY="5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1275"/>
        <w:gridCol w:w="851"/>
        <w:gridCol w:w="850"/>
        <w:gridCol w:w="993"/>
        <w:gridCol w:w="992"/>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1418" w:type="dxa"/>
            <w:noWrap w:val="0"/>
            <w:vAlign w:val="center"/>
          </w:tcPr>
          <w:p>
            <w:pPr>
              <w:jc w:val="center"/>
              <w:rPr>
                <w:rFonts w:hint="eastAsia" w:ascii="Times New Roman" w:hAnsi="Times New Roman"/>
                <w:sz w:val="24"/>
              </w:rPr>
            </w:pPr>
            <w:r>
              <w:rPr>
                <w:rFonts w:hint="eastAsia" w:ascii="Times New Roman" w:hAnsi="Times New Roman"/>
                <w:sz w:val="24"/>
              </w:rPr>
              <w:t>货物名称</w:t>
            </w:r>
          </w:p>
        </w:tc>
        <w:tc>
          <w:tcPr>
            <w:tcW w:w="1275" w:type="dxa"/>
            <w:noWrap w:val="0"/>
            <w:vAlign w:val="center"/>
          </w:tcPr>
          <w:p>
            <w:pPr>
              <w:jc w:val="center"/>
              <w:rPr>
                <w:rFonts w:hint="eastAsia" w:ascii="Times New Roman" w:hAnsi="Times New Roman"/>
                <w:sz w:val="24"/>
              </w:rPr>
            </w:pPr>
            <w:r>
              <w:rPr>
                <w:rFonts w:hint="eastAsia" w:ascii="Times New Roman" w:hAnsi="Times New Roman"/>
                <w:sz w:val="24"/>
              </w:rPr>
              <w:t>规格型号</w:t>
            </w:r>
          </w:p>
        </w:tc>
        <w:tc>
          <w:tcPr>
            <w:tcW w:w="851" w:type="dxa"/>
            <w:noWrap w:val="0"/>
            <w:vAlign w:val="center"/>
          </w:tcPr>
          <w:p>
            <w:pPr>
              <w:jc w:val="center"/>
              <w:rPr>
                <w:rFonts w:hint="eastAsia" w:ascii="Times New Roman" w:hAnsi="Times New Roman"/>
                <w:sz w:val="24"/>
              </w:rPr>
            </w:pPr>
            <w:r>
              <w:rPr>
                <w:rFonts w:hint="eastAsia" w:ascii="Times New Roman" w:hAnsi="Times New Roman"/>
                <w:sz w:val="24"/>
              </w:rPr>
              <w:t>数量</w:t>
            </w:r>
          </w:p>
        </w:tc>
        <w:tc>
          <w:tcPr>
            <w:tcW w:w="850" w:type="dxa"/>
            <w:noWrap w:val="0"/>
            <w:vAlign w:val="center"/>
          </w:tcPr>
          <w:p>
            <w:pPr>
              <w:jc w:val="center"/>
              <w:rPr>
                <w:rFonts w:hint="eastAsia" w:ascii="Times New Roman" w:hAnsi="Times New Roman"/>
                <w:sz w:val="24"/>
              </w:rPr>
            </w:pPr>
            <w:r>
              <w:rPr>
                <w:rFonts w:hint="eastAsia" w:ascii="Times New Roman" w:hAnsi="Times New Roman"/>
                <w:sz w:val="24"/>
              </w:rPr>
              <w:t>单位</w:t>
            </w:r>
          </w:p>
        </w:tc>
        <w:tc>
          <w:tcPr>
            <w:tcW w:w="993" w:type="dxa"/>
            <w:noWrap w:val="0"/>
            <w:vAlign w:val="center"/>
          </w:tcPr>
          <w:p>
            <w:pPr>
              <w:jc w:val="center"/>
              <w:rPr>
                <w:rFonts w:hint="eastAsia" w:ascii="Times New Roman" w:hAnsi="Times New Roman"/>
                <w:sz w:val="24"/>
              </w:rPr>
            </w:pPr>
            <w:r>
              <w:rPr>
                <w:rFonts w:hint="eastAsia" w:ascii="Times New Roman" w:hAnsi="Times New Roman"/>
                <w:sz w:val="24"/>
              </w:rPr>
              <w:t>未税</w:t>
            </w:r>
          </w:p>
          <w:p>
            <w:pPr>
              <w:jc w:val="center"/>
              <w:rPr>
                <w:rFonts w:hint="eastAsia" w:ascii="Times New Roman" w:hAnsi="Times New Roman"/>
                <w:sz w:val="24"/>
              </w:rPr>
            </w:pPr>
            <w:r>
              <w:rPr>
                <w:rFonts w:hint="eastAsia" w:ascii="Times New Roman" w:hAnsi="Times New Roman"/>
                <w:sz w:val="24"/>
              </w:rPr>
              <w:t>单价</w:t>
            </w:r>
          </w:p>
        </w:tc>
        <w:tc>
          <w:tcPr>
            <w:tcW w:w="992" w:type="dxa"/>
            <w:noWrap w:val="0"/>
            <w:vAlign w:val="center"/>
          </w:tcPr>
          <w:p>
            <w:pPr>
              <w:jc w:val="center"/>
              <w:rPr>
                <w:rFonts w:hint="eastAsia" w:ascii="Times New Roman" w:hAnsi="Times New Roman"/>
                <w:sz w:val="24"/>
              </w:rPr>
            </w:pPr>
            <w:r>
              <w:rPr>
                <w:rFonts w:hint="eastAsia" w:ascii="Times New Roman" w:hAnsi="Times New Roman"/>
                <w:sz w:val="24"/>
              </w:rPr>
              <w:t>含税</w:t>
            </w:r>
          </w:p>
          <w:p>
            <w:pPr>
              <w:jc w:val="center"/>
              <w:rPr>
                <w:rFonts w:hint="eastAsia" w:ascii="Times New Roman" w:hAnsi="Times New Roman"/>
                <w:sz w:val="24"/>
              </w:rPr>
            </w:pPr>
            <w:r>
              <w:rPr>
                <w:rFonts w:hint="eastAsia" w:ascii="Times New Roman" w:hAnsi="Times New Roman"/>
                <w:sz w:val="24"/>
              </w:rPr>
              <w:t>单价</w:t>
            </w:r>
          </w:p>
        </w:tc>
        <w:tc>
          <w:tcPr>
            <w:tcW w:w="992" w:type="dxa"/>
            <w:tcBorders>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含税</w:t>
            </w:r>
          </w:p>
          <w:p>
            <w:pPr>
              <w:jc w:val="center"/>
              <w:rPr>
                <w:rFonts w:hint="eastAsia" w:ascii="Times New Roman" w:hAnsi="Times New Roman"/>
                <w:sz w:val="24"/>
              </w:rPr>
            </w:pPr>
            <w:r>
              <w:rPr>
                <w:rFonts w:hint="eastAsia" w:ascii="Times New Roman" w:hAnsi="Times New Roman"/>
                <w:sz w:val="24"/>
              </w:rPr>
              <w:t>总价</w:t>
            </w:r>
          </w:p>
        </w:tc>
        <w:tc>
          <w:tcPr>
            <w:tcW w:w="851" w:type="dxa"/>
            <w:tcBorders>
              <w:lef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1</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2</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039" w:type="dxa"/>
            <w:gridSpan w:val="9"/>
            <w:noWrap w:val="0"/>
            <w:vAlign w:val="center"/>
          </w:tcPr>
          <w:p>
            <w:pPr>
              <w:tabs>
                <w:tab w:val="left" w:pos="1059"/>
              </w:tabs>
              <w:jc w:val="left"/>
              <w:rPr>
                <w:rFonts w:hint="eastAsia" w:ascii="Times New Roman" w:hAnsi="Times New Roman" w:eastAsia="宋体"/>
                <w:sz w:val="24"/>
                <w:lang w:eastAsia="zh-CN"/>
              </w:rPr>
            </w:pPr>
            <w:r>
              <w:rPr>
                <w:rFonts w:hint="eastAsia" w:ascii="宋体" w:hAnsi="宋体"/>
                <w:color w:val="000000"/>
                <w:sz w:val="24"/>
              </w:rPr>
              <w:t>该价格为本次货物安装调试完毕，经用户验收小组验收合格并交付使用所有可能发生的费用，包括货物制造、运输、采购保管、产品检验检测、安装调试、施工配合费、税收以及售后服务等费用。</w:t>
            </w:r>
          </w:p>
        </w:tc>
      </w:tr>
    </w:tbl>
    <w:p>
      <w:pPr>
        <w:widowControl/>
        <w:shd w:val="clear" w:color="auto" w:fill="FFFFFF"/>
        <w:spacing w:line="440" w:lineRule="atLeast"/>
        <w:ind w:firstLine="482" w:firstLineChars="200"/>
        <w:jc w:val="left"/>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第二条 质量与保修</w:t>
      </w:r>
    </w:p>
    <w:p>
      <w:pPr>
        <w:adjustRightInd w:val="0"/>
        <w:spacing w:line="360" w:lineRule="auto"/>
        <w:ind w:firstLine="480" w:firstLineChars="200"/>
        <w:rPr>
          <w:rFonts w:ascii="宋体" w:hAnsi="宋体"/>
          <w:bCs/>
          <w:sz w:val="24"/>
        </w:rPr>
      </w:pPr>
      <w:r>
        <w:rPr>
          <w:rFonts w:hint="eastAsia" w:ascii="宋体" w:hAnsi="宋体"/>
          <w:bCs/>
          <w:sz w:val="24"/>
          <w:lang w:val="en-US" w:eastAsia="zh-CN"/>
        </w:rPr>
        <w:t>2.1</w:t>
      </w:r>
      <w:r>
        <w:rPr>
          <w:rFonts w:hint="eastAsia" w:ascii="宋体" w:hAnsi="宋体"/>
          <w:bCs/>
          <w:sz w:val="24"/>
        </w:rPr>
        <w:t>、质量保证：乙方对产品质量实行三包，所有货物质保期为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年。在质保期内，乙方需定期派人上门检查，质保期内所出现的产品质量问题，乙方应无偿进行免费的维修及免费更换零部件。</w:t>
      </w:r>
      <w:r>
        <w:rPr>
          <w:rFonts w:ascii="宋体" w:hAnsi="宋体"/>
          <w:bCs/>
          <w:sz w:val="24"/>
        </w:rPr>
        <w:t xml:space="preserve"> </w:t>
      </w:r>
    </w:p>
    <w:p>
      <w:pPr>
        <w:adjustRightInd w:val="0"/>
        <w:spacing w:line="360" w:lineRule="auto"/>
        <w:ind w:firstLine="480" w:firstLineChars="200"/>
        <w:rPr>
          <w:rFonts w:ascii="宋体" w:hAnsi="宋体"/>
          <w:bCs/>
          <w:sz w:val="24"/>
        </w:rPr>
      </w:pPr>
      <w:r>
        <w:rPr>
          <w:rFonts w:hint="eastAsia" w:ascii="宋体" w:hAnsi="宋体"/>
          <w:bCs/>
          <w:sz w:val="24"/>
        </w:rPr>
        <w:t>2</w:t>
      </w:r>
      <w:r>
        <w:rPr>
          <w:rFonts w:hint="eastAsia" w:ascii="宋体" w:hAnsi="宋体"/>
          <w:bCs/>
          <w:sz w:val="24"/>
          <w:lang w:val="en-US" w:eastAsia="zh-CN"/>
        </w:rPr>
        <w:t>.2</w:t>
      </w:r>
      <w:r>
        <w:rPr>
          <w:rFonts w:hint="eastAsia" w:ascii="宋体" w:hAnsi="宋体"/>
          <w:bCs/>
          <w:sz w:val="24"/>
        </w:rPr>
        <w:t>、质保期自□每批货物通过甲方验收之日 □全部货物通过甲方验收之日起计算（货物依法标注有效期的，其有效期不得少于前述质保期；若与国家相关规定不一致的，按较高要求执行）；如乙方公开对外承诺的质保期高于国家规定和甲方要求的质保期，以乙方承诺的质保期时间为准。</w:t>
      </w:r>
    </w:p>
    <w:p>
      <w:pPr>
        <w:adjustRightInd w:val="0"/>
        <w:spacing w:line="360" w:lineRule="auto"/>
        <w:ind w:firstLine="480" w:firstLineChars="200"/>
        <w:rPr>
          <w:rFonts w:ascii="宋体" w:hAnsi="宋体"/>
          <w:bCs/>
          <w:sz w:val="24"/>
        </w:rPr>
      </w:pPr>
      <w:r>
        <w:rPr>
          <w:rFonts w:hint="eastAsia" w:ascii="宋体" w:hAnsi="宋体"/>
          <w:bCs/>
          <w:sz w:val="24"/>
          <w:lang w:val="en-US" w:eastAsia="zh-CN"/>
        </w:rPr>
        <w:t>2.</w:t>
      </w:r>
      <w:r>
        <w:rPr>
          <w:rFonts w:hint="eastAsia" w:ascii="宋体" w:hAnsi="宋体"/>
          <w:bCs/>
          <w:sz w:val="24"/>
        </w:rPr>
        <w:t>3、因货物的质量问题发生争议的，应当申请国家认可的质量检测机构对货物质量进行鉴定。货物符合标准的，鉴定费由甲方承担；货物不符合质量标准的，鉴定费由乙方承担。</w:t>
      </w:r>
    </w:p>
    <w:p>
      <w:pPr>
        <w:widowControl/>
        <w:shd w:val="clear" w:color="auto" w:fill="FFFFFF"/>
        <w:spacing w:line="440" w:lineRule="atLeast"/>
        <w:ind w:firstLine="482" w:firstLineChars="200"/>
        <w:jc w:val="left"/>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第三条  包装及供货清单</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 xml:space="preserve">3.1 </w:t>
      </w:r>
      <w:r>
        <w:rPr>
          <w:rFonts w:hint="eastAsia" w:ascii="宋体" w:hAnsi="宋体" w:cs="宋体"/>
          <w:color w:val="000000"/>
          <w:kern w:val="0"/>
          <w:sz w:val="24"/>
        </w:rPr>
        <w:t>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 xml:space="preserve">3.2 </w:t>
      </w:r>
      <w:r>
        <w:rPr>
          <w:rFonts w:hint="eastAsia" w:ascii="宋体" w:hAnsi="宋体" w:cs="宋体"/>
          <w:color w:val="000000"/>
          <w:kern w:val="0"/>
          <w:sz w:val="24"/>
        </w:rPr>
        <w:t>供货清单：包括产品主机、随机备品备件、专用工具的名称及数量、</w:t>
      </w:r>
      <w:r>
        <w:rPr>
          <w:rFonts w:hint="eastAsia"/>
          <w:sz w:val="24"/>
        </w:rPr>
        <w:t>用户手册、出厂质量检验合格证及其他必要的资料</w:t>
      </w:r>
      <w:r>
        <w:rPr>
          <w:rFonts w:hint="eastAsia" w:ascii="宋体" w:hAnsi="宋体" w:cs="宋体"/>
          <w:color w:val="000000"/>
          <w:kern w:val="0"/>
          <w:sz w:val="24"/>
        </w:rPr>
        <w:t>。</w:t>
      </w:r>
    </w:p>
    <w:p>
      <w:pPr>
        <w:widowControl/>
        <w:shd w:val="clear" w:color="auto" w:fill="FFFFFF"/>
        <w:spacing w:line="440" w:lineRule="atLeast"/>
        <w:ind w:firstLine="482" w:firstLineChars="200"/>
        <w:jc w:val="left"/>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第四条  安装调试、技术服务、人员培训及技术资料</w:t>
      </w:r>
    </w:p>
    <w:p>
      <w:pPr>
        <w:widowControl/>
        <w:shd w:val="clear" w:color="auto" w:fill="FFFFFF"/>
        <w:spacing w:line="44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pPr>
        <w:widowControl/>
        <w:shd w:val="clear" w:color="auto" w:fill="FFFFFF"/>
        <w:spacing w:line="440" w:lineRule="atLeast"/>
        <w:ind w:firstLine="482" w:firstLineChars="200"/>
        <w:jc w:val="left"/>
        <w:rPr>
          <w:rFonts w:hint="eastAsia" w:ascii="宋体" w:hAnsi="宋体" w:cs="宋体"/>
          <w:b/>
          <w:color w:val="FF0000"/>
          <w:kern w:val="0"/>
          <w:sz w:val="24"/>
        </w:rPr>
      </w:pPr>
      <w:r>
        <w:rPr>
          <w:rFonts w:hint="eastAsia" w:ascii="宋体" w:hAnsi="宋体" w:cs="宋体"/>
          <w:b/>
          <w:bCs/>
          <w:color w:val="000000"/>
          <w:kern w:val="0"/>
          <w:sz w:val="24"/>
          <w:lang w:val="en-US" w:eastAsia="zh-CN"/>
        </w:rPr>
        <w:t>第五条 交货及</w:t>
      </w:r>
      <w:r>
        <w:rPr>
          <w:rFonts w:hint="eastAsia" w:ascii="宋体" w:hAnsi="宋体" w:cs="宋体"/>
          <w:b/>
          <w:bCs/>
          <w:color w:val="000000"/>
          <w:kern w:val="0"/>
          <w:sz w:val="24"/>
        </w:rPr>
        <w:t>验收</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hint="eastAsia" w:ascii="宋体" w:hAnsi="宋体" w:cs="宋体"/>
          <w:b/>
          <w:color w:val="FF0000"/>
          <w:kern w:val="0"/>
          <w:sz w:val="24"/>
        </w:rPr>
      </w:pPr>
      <w:r>
        <w:rPr>
          <w:rFonts w:hint="eastAsia" w:ascii="宋体" w:hAnsi="宋体" w:cs="宋体"/>
          <w:color w:val="000000"/>
          <w:kern w:val="0"/>
          <w:sz w:val="24"/>
        </w:rPr>
        <w:t>验收可细分为到货时的外在质量的验收，投产前的质量验收，大型设备可能还存在更多的验收步骤和验收方式，具体标准</w:t>
      </w:r>
      <w:r>
        <w:rPr>
          <w:rFonts w:hint="eastAsia" w:ascii="宋体" w:hAnsi="宋体" w:cs="宋体"/>
          <w:color w:val="FF0000"/>
          <w:kern w:val="0"/>
          <w:sz w:val="24"/>
        </w:rPr>
        <w:t>按招标文件要求执行</w:t>
      </w:r>
      <w:r>
        <w:rPr>
          <w:rFonts w:hint="eastAsia" w:ascii="宋体" w:hAnsi="宋体" w:cs="宋体"/>
          <w:color w:val="000000"/>
          <w:kern w:val="0"/>
          <w:sz w:val="24"/>
        </w:rPr>
        <w:t>。</w:t>
      </w:r>
    </w:p>
    <w:p>
      <w:pPr>
        <w:spacing w:line="360" w:lineRule="auto"/>
        <w:ind w:firstLine="480" w:firstLineChars="200"/>
        <w:jc w:val="left"/>
        <w:rPr>
          <w:rFonts w:ascii="宋体" w:hAnsi="宋体"/>
          <w:sz w:val="24"/>
        </w:rPr>
      </w:pPr>
      <w:r>
        <w:rPr>
          <w:rFonts w:hint="eastAsia" w:ascii="宋体" w:hAnsi="宋体"/>
          <w:sz w:val="24"/>
          <w:lang w:val="en-US" w:eastAsia="zh-CN"/>
        </w:rPr>
        <w:t xml:space="preserve">4.1 </w:t>
      </w:r>
      <w:r>
        <w:rPr>
          <w:rFonts w:ascii="宋体" w:hAnsi="宋体"/>
          <w:sz w:val="24"/>
        </w:rPr>
        <w:t>乙方交付的货物应当完全符合本合同所</w:t>
      </w:r>
      <w:r>
        <w:rPr>
          <w:rFonts w:hint="eastAsia" w:ascii="宋体" w:hAnsi="宋体"/>
          <w:sz w:val="24"/>
        </w:rPr>
        <w:t>约定</w:t>
      </w:r>
      <w:r>
        <w:rPr>
          <w:rFonts w:ascii="宋体" w:hAnsi="宋体"/>
          <w:sz w:val="24"/>
        </w:rPr>
        <w:t>的货物、数量和规格要求。乙方应将货物的装箱清单、用户手册、原厂保修卡、随机资料及配件、随机工具等一并交付甲方</w:t>
      </w:r>
      <w:r>
        <w:rPr>
          <w:rFonts w:hint="eastAsia" w:ascii="宋体" w:hAnsi="宋体"/>
          <w:sz w:val="24"/>
        </w:rPr>
        <w:t>。若</w:t>
      </w:r>
      <w:r>
        <w:rPr>
          <w:rFonts w:ascii="宋体" w:hAnsi="宋体"/>
          <w:sz w:val="24"/>
        </w:rPr>
        <w:t>乙方</w:t>
      </w:r>
      <w:r>
        <w:rPr>
          <w:rFonts w:hint="eastAsia" w:ascii="宋体" w:hAnsi="宋体"/>
          <w:sz w:val="24"/>
        </w:rPr>
        <w:t>未</w:t>
      </w:r>
      <w:r>
        <w:rPr>
          <w:rFonts w:ascii="宋体" w:hAnsi="宋体"/>
          <w:sz w:val="24"/>
        </w:rPr>
        <w:t>能完整交付货物及本款规定的单证和工具的，视为未按合同约定交货，乙方</w:t>
      </w:r>
      <w:r>
        <w:rPr>
          <w:rFonts w:hint="eastAsia" w:ascii="宋体" w:hAnsi="宋体"/>
          <w:sz w:val="24"/>
        </w:rPr>
        <w:t>应</w:t>
      </w:r>
      <w:r>
        <w:rPr>
          <w:rFonts w:ascii="宋体" w:hAnsi="宋体"/>
          <w:sz w:val="24"/>
        </w:rPr>
        <w:t>补齐，</w:t>
      </w:r>
      <w:r>
        <w:rPr>
          <w:rFonts w:hint="eastAsia" w:ascii="宋体" w:hAnsi="宋体"/>
          <w:sz w:val="24"/>
        </w:rPr>
        <w:t>若因此</w:t>
      </w:r>
      <w:r>
        <w:rPr>
          <w:rFonts w:ascii="宋体" w:hAnsi="宋体"/>
          <w:sz w:val="24"/>
        </w:rPr>
        <w:t>导致逾期交付的，由乙方承担相关的违约责任。</w:t>
      </w:r>
    </w:p>
    <w:p>
      <w:pPr>
        <w:spacing w:line="360" w:lineRule="auto"/>
        <w:ind w:firstLine="480" w:firstLineChars="200"/>
        <w:jc w:val="left"/>
        <w:rPr>
          <w:rFonts w:hint="eastAsia" w:ascii="宋体" w:hAnsi="宋体"/>
          <w:sz w:val="24"/>
        </w:rPr>
      </w:pPr>
      <w:r>
        <w:rPr>
          <w:rFonts w:hint="eastAsia" w:ascii="宋体" w:hAnsi="宋体"/>
          <w:sz w:val="24"/>
          <w:lang w:val="en-US" w:eastAsia="zh-CN"/>
        </w:rPr>
        <w:t xml:space="preserve">4.2 </w:t>
      </w:r>
      <w:r>
        <w:rPr>
          <w:rFonts w:hint="eastAsia" w:ascii="宋体" w:hAnsi="宋体"/>
          <w:sz w:val="24"/>
        </w:rPr>
        <w:t>乙方在本合同签订后</w:t>
      </w:r>
      <w:r>
        <w:rPr>
          <w:rFonts w:hint="eastAsia" w:ascii="宋体" w:hAnsi="宋体"/>
          <w:sz w:val="24"/>
          <w:u w:val="single"/>
        </w:rPr>
        <w:t xml:space="preserve">   </w:t>
      </w:r>
      <w:r>
        <w:rPr>
          <w:rFonts w:hint="eastAsia" w:ascii="宋体" w:hAnsi="宋体"/>
          <w:sz w:val="24"/>
        </w:rPr>
        <w:t>个工作日内将甲方采购的货物运送至</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，并免费进行安装、调试及培训，直到交付使用。若由甲方原因造成货物交付推迟，由双方重新商定交货时间，乙方需自行承担仓储费及因延迟交货所产生的全部费用。</w:t>
      </w:r>
    </w:p>
    <w:p>
      <w:pPr>
        <w:spacing w:line="360" w:lineRule="auto"/>
        <w:ind w:firstLine="480" w:firstLineChars="200"/>
        <w:jc w:val="left"/>
        <w:rPr>
          <w:rFonts w:hint="eastAsia" w:ascii="宋体" w:hAnsi="宋体"/>
          <w:sz w:val="24"/>
        </w:rPr>
      </w:pPr>
      <w:r>
        <w:rPr>
          <w:rFonts w:hint="eastAsia" w:ascii="宋体" w:hAnsi="宋体"/>
          <w:sz w:val="24"/>
          <w:lang w:val="en-US" w:eastAsia="zh-CN"/>
        </w:rPr>
        <w:t xml:space="preserve">4.3 </w:t>
      </w:r>
      <w:r>
        <w:rPr>
          <w:rFonts w:hint="eastAsia" w:ascii="宋体" w:hAnsi="宋体"/>
          <w:sz w:val="24"/>
        </w:rPr>
        <w:t>乙方货物在进场前须经甲方检验确认后方可进场。乙方在现场安装时要注意保管未与甲方移交的货物，同时注意安装地点及周围的环境卫生，需严格进行文明施工，装卸、运输、安装时不得损坏实验室地面和其他设施，如损坏需由乙方赔偿甲方全部维修费用。</w:t>
      </w:r>
    </w:p>
    <w:p>
      <w:pPr>
        <w:widowControl/>
        <w:numPr>
          <w:ilvl w:val="0"/>
          <w:numId w:val="0"/>
        </w:numPr>
        <w:shd w:val="clear" w:color="auto" w:fill="FFFFFF"/>
        <w:spacing w:line="440" w:lineRule="atLeast"/>
        <w:ind w:firstLine="480" w:firstLineChars="200"/>
        <w:jc w:val="left"/>
        <w:rPr>
          <w:rFonts w:hint="eastAsia" w:ascii="宋体" w:hAnsi="宋体" w:eastAsia="宋体" w:cs="宋体"/>
          <w:b/>
          <w:color w:val="FF0000"/>
          <w:kern w:val="0"/>
          <w:sz w:val="24"/>
          <w:lang w:eastAsia="zh-CN"/>
        </w:rPr>
      </w:pPr>
      <w:r>
        <w:rPr>
          <w:rFonts w:hint="eastAsia" w:ascii="宋体" w:hAnsi="宋体"/>
          <w:sz w:val="24"/>
          <w:lang w:val="en-US" w:eastAsia="zh-CN"/>
        </w:rPr>
        <w:t xml:space="preserve">4.4 </w:t>
      </w:r>
      <w:r>
        <w:rPr>
          <w:rFonts w:hint="eastAsia" w:ascii="宋体" w:hAnsi="宋体"/>
          <w:sz w:val="24"/>
        </w:rPr>
        <w:t>甲方应当在到货之后（如有安装则在安装结束之后）对货物进行验收。经甲方验收后，甲方指定的负责人：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）在货物验收单上签字，则视为验收合格；</w:t>
      </w:r>
      <w:r>
        <w:rPr>
          <w:rFonts w:ascii="宋体" w:hAnsi="宋体"/>
          <w:sz w:val="24"/>
        </w:rPr>
        <w:t>乙方提供的货物不符合本合同约定</w:t>
      </w:r>
      <w:r>
        <w:rPr>
          <w:rFonts w:hint="eastAsia" w:ascii="宋体" w:hAnsi="宋体"/>
          <w:sz w:val="24"/>
        </w:rPr>
        <w:t>，</w:t>
      </w:r>
      <w:r>
        <w:rPr>
          <w:rFonts w:ascii="宋体" w:hAnsi="宋体"/>
          <w:sz w:val="24"/>
        </w:rPr>
        <w:t>甲方有权不予验收</w:t>
      </w:r>
      <w:r>
        <w:rPr>
          <w:rFonts w:hint="eastAsia" w:ascii="宋体" w:hAnsi="宋体"/>
          <w:sz w:val="24"/>
        </w:rPr>
        <w:t>，</w:t>
      </w:r>
      <w:r>
        <w:rPr>
          <w:rFonts w:ascii="宋体" w:hAnsi="宋体"/>
          <w:sz w:val="24"/>
        </w:rPr>
        <w:t>经甲方提出后</w:t>
      </w:r>
      <w:r>
        <w:rPr>
          <w:rFonts w:hint="eastAsia" w:ascii="宋体" w:hAnsi="宋体"/>
          <w:sz w:val="24"/>
        </w:rPr>
        <w:t>5个工作日内仍未按要求提供的，甲方有权解除合同并要求乙方赔偿损失</w:t>
      </w:r>
      <w:r>
        <w:rPr>
          <w:rFonts w:hint="eastAsia" w:ascii="宋体" w:hAnsi="宋体"/>
          <w:sz w:val="24"/>
          <w:lang w:eastAsia="zh-CN"/>
        </w:rPr>
        <w:t>。</w:t>
      </w:r>
    </w:p>
    <w:p>
      <w:pPr>
        <w:widowControl/>
        <w:shd w:val="clear" w:color="auto" w:fill="FFFFFF"/>
        <w:spacing w:line="440" w:lineRule="atLeast"/>
        <w:ind w:firstLine="482" w:firstLineChars="200"/>
        <w:jc w:val="left"/>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第六条 付款方式与条件</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lang w:val="en-US" w:eastAsia="zh-CN"/>
        </w:rPr>
        <w:t>6</w:t>
      </w:r>
      <w:r>
        <w:rPr>
          <w:rFonts w:hint="eastAsia" w:ascii="宋体" w:hAnsi="宋体" w:cs="宋体"/>
          <w:color w:val="000000"/>
          <w:kern w:val="0"/>
          <w:sz w:val="24"/>
        </w:rPr>
        <w:t>.1货物交货付款</w:t>
      </w:r>
    </w:p>
    <w:p>
      <w:pPr>
        <w:spacing w:line="360" w:lineRule="auto"/>
        <w:ind w:firstLine="480" w:firstLineChars="200"/>
        <w:rPr>
          <w:sz w:val="24"/>
        </w:rPr>
      </w:pPr>
      <w:r>
        <w:rPr>
          <w:rFonts w:hint="eastAsia"/>
          <w:sz w:val="24"/>
        </w:rPr>
        <w:t>甲、乙双方采用下列第</w:t>
      </w:r>
      <w:r>
        <w:rPr>
          <w:rFonts w:hint="eastAsia"/>
          <w:sz w:val="24"/>
          <w:u w:val="single"/>
        </w:rPr>
        <w:t xml:space="preserve">    </w:t>
      </w:r>
      <w:r>
        <w:rPr>
          <w:rFonts w:hint="eastAsia"/>
          <w:sz w:val="24"/>
        </w:rPr>
        <w:t>种方式交货付款：</w:t>
      </w:r>
    </w:p>
    <w:p>
      <w:pPr>
        <w:spacing w:line="360" w:lineRule="auto"/>
        <w:ind w:firstLine="480" w:firstLineChars="200"/>
        <w:rPr>
          <w:color w:val="000000"/>
          <w:sz w:val="24"/>
        </w:rPr>
      </w:pPr>
      <w:r>
        <w:rPr>
          <w:rFonts w:hint="eastAsia"/>
          <w:sz w:val="24"/>
        </w:rPr>
        <w:t>①</w:t>
      </w:r>
      <w:r>
        <w:rPr>
          <w:rFonts w:hint="eastAsia"/>
          <w:color w:val="000000"/>
          <w:sz w:val="24"/>
        </w:rPr>
        <w:t>合同签订后，用户验收小组验收合格交付使用的十五个工作日内付货款的95％（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②合同签订后，甲方根据乙方提供的下单凭证预付货款的</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），在全部货物验收合格后付款，</w:t>
      </w:r>
      <w:r>
        <w:rPr>
          <w:rFonts w:hint="eastAsia"/>
          <w:color w:val="000000"/>
          <w:sz w:val="24"/>
        </w:rPr>
        <w:t>余下的</w:t>
      </w:r>
      <w:r>
        <w:rPr>
          <w:rFonts w:hint="eastAsia"/>
          <w:color w:val="000000"/>
          <w:sz w:val="24"/>
          <w:u w:val="single"/>
          <w:lang w:val="en-US" w:eastAsia="zh-CN"/>
        </w:rPr>
        <w:t xml:space="preserve">    </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jc w:val="left"/>
        <w:rPr>
          <w:color w:val="000000"/>
          <w:sz w:val="24"/>
        </w:rPr>
      </w:pPr>
      <w:r>
        <w:rPr>
          <w:rFonts w:hint="eastAsia" w:ascii="宋体" w:hAnsi="宋体" w:cs="宋体"/>
          <w:color w:val="000000"/>
          <w:kern w:val="0"/>
          <w:sz w:val="24"/>
        </w:rPr>
        <w:t xml:space="preserve">    ③合同签订后，甲方根据乙方提供的下单凭证预付货款的95</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ind w:firstLine="480" w:firstLineChars="200"/>
        <w:jc w:val="left"/>
        <w:rPr>
          <w:color w:val="000000"/>
          <w:sz w:val="24"/>
        </w:rPr>
      </w:pPr>
      <w:r>
        <w:rPr>
          <w:rFonts w:hint="eastAsia"/>
          <w:color w:val="000000"/>
          <w:sz w:val="24"/>
        </w:rPr>
        <w:t>若甲方预付款时需要对应金额的发票，乙方应及时提供。</w:t>
      </w:r>
    </w:p>
    <w:p>
      <w:pPr>
        <w:widowControl/>
        <w:shd w:val="clear" w:color="auto" w:fill="FFFFFF"/>
        <w:spacing w:line="440" w:lineRule="atLeast"/>
        <w:ind w:firstLine="480" w:firstLineChars="200"/>
        <w:jc w:val="left"/>
        <w:rPr>
          <w:color w:val="000000"/>
          <w:sz w:val="24"/>
        </w:rPr>
      </w:pPr>
      <w:r>
        <w:rPr>
          <w:rFonts w:hint="eastAsia"/>
          <w:color w:val="000000"/>
          <w:sz w:val="24"/>
        </w:rPr>
        <w:t>现场交货条件下，乙方要求付款应提交下列单证和文件。</w:t>
      </w:r>
    </w:p>
    <w:p>
      <w:pPr>
        <w:widowControl/>
        <w:shd w:val="clear" w:color="auto" w:fill="FFFFFF"/>
        <w:spacing w:line="440" w:lineRule="atLeast"/>
        <w:ind w:firstLine="240"/>
        <w:jc w:val="left"/>
        <w:rPr>
          <w:rFonts w:ascii="宋体" w:hAnsi="宋体" w:cs="宋体"/>
          <w:color w:val="000000"/>
          <w:kern w:val="0"/>
          <w:szCs w:val="21"/>
        </w:rPr>
      </w:pPr>
      <w:r>
        <w:rPr>
          <w:rFonts w:hint="eastAsia" w:ascii="宋体" w:hAnsi="宋体" w:cs="宋体"/>
          <w:color w:val="000000"/>
          <w:kern w:val="0"/>
          <w:sz w:val="24"/>
        </w:rPr>
        <w:t>a.金额为有关合同货物价格</w:t>
      </w:r>
      <w:r>
        <w:rPr>
          <w:rFonts w:hint="eastAsia" w:ascii="宋体" w:hAnsi="宋体" w:cs="宋体"/>
          <w:color w:val="000000"/>
          <w:kern w:val="0"/>
          <w:sz w:val="24"/>
          <w:u w:val="single"/>
        </w:rPr>
        <w:t xml:space="preserve">     %</w:t>
      </w:r>
      <w:r>
        <w:rPr>
          <w:rFonts w:hint="eastAsia" w:ascii="宋体" w:hAnsi="宋体" w:cs="宋体"/>
          <w:color w:val="000000"/>
          <w:kern w:val="0"/>
          <w:sz w:val="24"/>
        </w:rPr>
        <w:t>的正式发票。</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b.制造厂家出具的货物质量合格证书。</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c.甲方已收讫货物的验收凭证。</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d.甲方签发的验收合格文件。</w:t>
      </w:r>
    </w:p>
    <w:p>
      <w:pPr>
        <w:widowControl/>
        <w:shd w:val="clear" w:color="auto" w:fill="FFFFFF"/>
        <w:spacing w:line="440" w:lineRule="atLeast"/>
        <w:ind w:firstLine="360" w:firstLineChars="150"/>
        <w:jc w:val="left"/>
        <w:rPr>
          <w:rFonts w:hint="eastAsia" w:ascii="宋体" w:hAnsi="宋体" w:cs="宋体"/>
          <w:color w:val="000000"/>
          <w:kern w:val="0"/>
          <w:sz w:val="24"/>
        </w:rPr>
      </w:pPr>
      <w:r>
        <w:rPr>
          <w:rFonts w:hint="eastAsia" w:ascii="宋体" w:hAnsi="宋体" w:cs="宋体"/>
          <w:color w:val="000000"/>
          <w:kern w:val="0"/>
          <w:sz w:val="24"/>
        </w:rPr>
        <w:t>7.2分期支付货款的，余下的货款应于</w:t>
      </w:r>
      <w:r>
        <w:rPr>
          <w:rFonts w:hint="eastAsia" w:ascii="宋体" w:hAnsi="宋体" w:cs="宋体"/>
          <w:color w:val="000000"/>
          <w:kern w:val="0"/>
          <w:sz w:val="24"/>
          <w:u w:val="single"/>
        </w:rPr>
        <w:t xml:space="preserve">           </w:t>
      </w:r>
      <w:r>
        <w:rPr>
          <w:rFonts w:hint="eastAsia" w:ascii="宋体" w:hAnsi="宋体" w:cs="宋体"/>
          <w:color w:val="000000"/>
          <w:kern w:val="0"/>
          <w:sz w:val="24"/>
        </w:rPr>
        <w:t>（时间）支付。</w:t>
      </w:r>
    </w:p>
    <w:p>
      <w:pPr>
        <w:widowControl/>
        <w:shd w:val="clear" w:color="auto" w:fill="FFFFFF"/>
        <w:spacing w:line="440" w:lineRule="atLeast"/>
        <w:ind w:firstLine="361" w:firstLineChars="150"/>
        <w:jc w:val="left"/>
        <w:rPr>
          <w:rFonts w:hint="eastAsia" w:ascii="宋体" w:hAnsi="宋体"/>
          <w:b/>
          <w:sz w:val="24"/>
        </w:rPr>
      </w:pPr>
      <w:r>
        <w:rPr>
          <w:rFonts w:hint="eastAsia" w:ascii="宋体" w:hAnsi="宋体" w:cs="宋体"/>
          <w:b/>
          <w:bCs/>
          <w:color w:val="000000"/>
          <w:kern w:val="0"/>
          <w:sz w:val="24"/>
          <w:lang w:val="en-US" w:eastAsia="zh-CN"/>
        </w:rPr>
        <w:t>第七条</w:t>
      </w:r>
      <w:r>
        <w:rPr>
          <w:rFonts w:hint="eastAsia" w:ascii="宋体" w:hAnsi="宋体" w:cs="宋体"/>
          <w:color w:val="000000"/>
          <w:kern w:val="0"/>
          <w:sz w:val="24"/>
          <w:lang w:val="en-US" w:eastAsia="zh-CN"/>
        </w:rPr>
        <w:t xml:space="preserve"> </w:t>
      </w:r>
      <w:r>
        <w:rPr>
          <w:rFonts w:hint="eastAsia" w:ascii="宋体" w:hAnsi="宋体"/>
          <w:b/>
          <w:sz w:val="24"/>
        </w:rPr>
        <w:t>伴随服务和售后服务</w:t>
      </w:r>
      <w:r>
        <w:rPr>
          <w:rFonts w:hint="eastAsia" w:ascii="宋体" w:hAnsi="宋体" w:cs="宋体"/>
          <w:b/>
          <w:color w:val="FF0000"/>
          <w:kern w:val="0"/>
          <w:sz w:val="24"/>
        </w:rPr>
        <w:t>(按投标文件填写)</w:t>
      </w:r>
    </w:p>
    <w:p>
      <w:pPr>
        <w:adjustRightInd w:val="0"/>
        <w:spacing w:line="360" w:lineRule="auto"/>
        <w:ind w:firstLine="480" w:firstLineChars="200"/>
        <w:rPr>
          <w:rFonts w:ascii="宋体" w:hAnsi="宋体"/>
          <w:bCs/>
          <w:sz w:val="24"/>
        </w:rPr>
      </w:pPr>
      <w:r>
        <w:rPr>
          <w:rFonts w:hint="eastAsia" w:ascii="宋体" w:hAnsi="宋体"/>
          <w:bCs/>
          <w:sz w:val="24"/>
          <w:lang w:val="en-US" w:eastAsia="zh-CN"/>
        </w:rPr>
        <w:t xml:space="preserve">7.1 </w:t>
      </w:r>
      <w:r>
        <w:rPr>
          <w:rFonts w:hint="eastAsia" w:ascii="宋体" w:hAnsi="宋体"/>
          <w:bCs/>
          <w:sz w:val="24"/>
        </w:rPr>
        <w:t>乙方应按照国家</w:t>
      </w:r>
      <w:r>
        <w:rPr>
          <w:rFonts w:ascii="宋体" w:hAnsi="宋体"/>
          <w:bCs/>
          <w:sz w:val="24"/>
        </w:rPr>
        <w:t>有关法律法规和“三包”规定提供伴随服务与售后服务</w:t>
      </w:r>
      <w:r>
        <w:rPr>
          <w:rFonts w:hint="eastAsia" w:ascii="宋体" w:hAnsi="宋体"/>
          <w:bCs/>
          <w:sz w:val="24"/>
        </w:rPr>
        <w:t>，在产品使用过程中，乙方对甲方依照本合同提出的保修等要求，应在2</w:t>
      </w:r>
      <w:r>
        <w:rPr>
          <w:rFonts w:ascii="宋体" w:hAnsi="宋体"/>
          <w:bCs/>
          <w:sz w:val="24"/>
        </w:rPr>
        <w:t>4</w:t>
      </w:r>
      <w:r>
        <w:rPr>
          <w:rFonts w:hint="eastAsia" w:ascii="宋体" w:hAnsi="宋体"/>
          <w:bCs/>
          <w:sz w:val="24"/>
        </w:rPr>
        <w:t>小时内响应，并在3日内维修完毕，若遇重大故障可延迟到1</w:t>
      </w:r>
      <w:r>
        <w:rPr>
          <w:rFonts w:ascii="宋体" w:hAnsi="宋体"/>
          <w:bCs/>
          <w:sz w:val="24"/>
        </w:rPr>
        <w:t>5</w:t>
      </w:r>
      <w:r>
        <w:rPr>
          <w:rFonts w:hint="eastAsia" w:ascii="宋体" w:hAnsi="宋体"/>
          <w:bCs/>
          <w:sz w:val="24"/>
        </w:rPr>
        <w:t>个工作日内维修完毕，若无法维修的，乙方应免费进行更换。</w:t>
      </w:r>
    </w:p>
    <w:p>
      <w:pPr>
        <w:adjustRightInd w:val="0"/>
        <w:spacing w:line="360" w:lineRule="auto"/>
        <w:ind w:firstLine="480" w:firstLineChars="200"/>
        <w:rPr>
          <w:rFonts w:hint="eastAsia" w:ascii="宋体" w:hAnsi="宋体"/>
          <w:bCs/>
          <w:sz w:val="24"/>
        </w:rPr>
      </w:pPr>
      <w:r>
        <w:rPr>
          <w:rFonts w:hint="eastAsia" w:ascii="宋体" w:hAnsi="宋体"/>
          <w:bCs/>
          <w:sz w:val="24"/>
          <w:lang w:val="en-US" w:eastAsia="zh-CN"/>
        </w:rPr>
        <w:t xml:space="preserve">7.2 </w:t>
      </w:r>
      <w:r>
        <w:rPr>
          <w:rFonts w:hint="eastAsia" w:ascii="宋体" w:hAnsi="宋体"/>
          <w:bCs/>
          <w:sz w:val="24"/>
        </w:rPr>
        <w:t>若乙方怠于履行本合同项下的保修服务，则甲方有权自行或委托第三方处理，届时所产生的所有费用由乙方承担，甲方有权选择从应向乙方支付的费用或履约保证金或质量保证金中扣减前述费用，不足部分甲方有权要求乙方赔偿。</w:t>
      </w:r>
    </w:p>
    <w:p>
      <w:pPr>
        <w:adjustRightInd w:val="0"/>
        <w:spacing w:line="360" w:lineRule="auto"/>
        <w:ind w:firstLine="480" w:firstLineChars="200"/>
        <w:rPr>
          <w:rFonts w:ascii="宋体" w:hAnsi="宋体"/>
          <w:bCs/>
          <w:sz w:val="24"/>
        </w:rPr>
      </w:pPr>
      <w:r>
        <w:rPr>
          <w:rFonts w:hint="eastAsia" w:ascii="宋体" w:hAnsi="宋体"/>
          <w:bCs/>
          <w:sz w:val="24"/>
          <w:lang w:val="en-US" w:eastAsia="zh-CN"/>
        </w:rPr>
        <w:t xml:space="preserve">7.3 </w:t>
      </w:r>
      <w:r>
        <w:rPr>
          <w:rFonts w:hint="eastAsia" w:ascii="宋体" w:hAnsi="宋体"/>
          <w:bCs/>
          <w:sz w:val="24"/>
        </w:rPr>
        <w:t>乙方承诺对其所提供的产品提供终身维修服务，质保期后维修仅收取零部件费用。</w:t>
      </w:r>
    </w:p>
    <w:p>
      <w:pPr>
        <w:widowControl/>
        <w:numPr>
          <w:ilvl w:val="0"/>
          <w:numId w:val="0"/>
        </w:numPr>
        <w:shd w:val="clear" w:color="auto" w:fill="FFFFFF"/>
        <w:spacing w:line="440" w:lineRule="atLeast"/>
        <w:ind w:firstLine="480" w:firstLineChars="200"/>
        <w:jc w:val="left"/>
        <w:rPr>
          <w:rFonts w:hint="eastAsia" w:ascii="宋体" w:hAnsi="宋体" w:cs="宋体"/>
          <w:b/>
          <w:color w:val="FF0000"/>
          <w:kern w:val="0"/>
          <w:sz w:val="24"/>
        </w:rPr>
      </w:pPr>
      <w:r>
        <w:rPr>
          <w:rFonts w:hint="eastAsia" w:ascii="宋体" w:hAnsi="宋体"/>
          <w:bCs/>
          <w:sz w:val="24"/>
          <w:lang w:val="en-US" w:eastAsia="zh-CN"/>
        </w:rPr>
        <w:t xml:space="preserve">7.4 </w:t>
      </w:r>
      <w:r>
        <w:rPr>
          <w:rFonts w:hint="eastAsia" w:ascii="宋体" w:hAnsi="宋体"/>
          <w:bCs/>
          <w:sz w:val="24"/>
        </w:rPr>
        <w:t>质保期后，甲方向乙方购买本合同采购货物的配套配件时，乙方收取的费用应不高于同时期的市场价。</w:t>
      </w:r>
    </w:p>
    <w:p>
      <w:pPr>
        <w:adjustRightInd w:val="0"/>
        <w:spacing w:line="360" w:lineRule="auto"/>
        <w:ind w:firstLine="482" w:firstLineChars="200"/>
        <w:rPr>
          <w:rFonts w:hint="eastAsia" w:ascii="宋体" w:hAnsi="宋体"/>
          <w:b/>
          <w:bCs/>
          <w:sz w:val="24"/>
        </w:rPr>
      </w:pPr>
      <w:r>
        <w:rPr>
          <w:rFonts w:hint="eastAsia" w:ascii="宋体" w:hAnsi="宋体" w:cs="宋体"/>
          <w:b/>
          <w:bCs/>
          <w:color w:val="000000"/>
          <w:kern w:val="0"/>
          <w:sz w:val="24"/>
          <w:lang w:val="en-US" w:eastAsia="zh-CN"/>
        </w:rPr>
        <w:t>第八条</w:t>
      </w:r>
      <w:r>
        <w:rPr>
          <w:rFonts w:hint="eastAsia" w:ascii="宋体" w:hAnsi="宋体"/>
          <w:b/>
          <w:bCs/>
          <w:sz w:val="24"/>
        </w:rPr>
        <w:t xml:space="preserve"> 违约责任</w:t>
      </w:r>
    </w:p>
    <w:p>
      <w:pPr>
        <w:adjustRightInd w:val="0"/>
        <w:spacing w:line="360" w:lineRule="auto"/>
        <w:ind w:firstLine="480" w:firstLineChars="200"/>
        <w:rPr>
          <w:rFonts w:hint="eastAsia" w:ascii="宋体" w:hAnsi="宋体"/>
          <w:bCs/>
          <w:sz w:val="24"/>
        </w:rPr>
      </w:pPr>
      <w:r>
        <w:rPr>
          <w:rFonts w:hint="eastAsia" w:ascii="宋体" w:hAnsi="宋体"/>
          <w:bCs/>
          <w:sz w:val="24"/>
          <w:lang w:val="en-US" w:eastAsia="zh-CN"/>
        </w:rPr>
        <w:t xml:space="preserve">8.1 </w:t>
      </w:r>
      <w:r>
        <w:rPr>
          <w:rFonts w:ascii="宋体" w:hAnsi="宋体"/>
          <w:bCs/>
          <w:sz w:val="24"/>
        </w:rPr>
        <w:t>甲方逾期</w:t>
      </w:r>
      <w:r>
        <w:rPr>
          <w:rFonts w:hint="eastAsia" w:ascii="宋体" w:hAnsi="宋体"/>
          <w:bCs/>
          <w:sz w:val="24"/>
        </w:rPr>
        <w:t>向乙方</w:t>
      </w:r>
      <w:r>
        <w:rPr>
          <w:rFonts w:ascii="宋体" w:hAnsi="宋体"/>
          <w:bCs/>
          <w:sz w:val="24"/>
        </w:rPr>
        <w:t>付款的，每</w:t>
      </w:r>
      <w:r>
        <w:rPr>
          <w:rFonts w:hint="eastAsia" w:ascii="宋体" w:hAnsi="宋体"/>
          <w:bCs/>
          <w:sz w:val="24"/>
        </w:rPr>
        <w:t>逾期</w:t>
      </w:r>
      <w:r>
        <w:rPr>
          <w:rFonts w:ascii="宋体" w:hAnsi="宋体"/>
          <w:bCs/>
          <w:sz w:val="24"/>
        </w:rPr>
        <w:t>一日</w:t>
      </w:r>
      <w:r>
        <w:rPr>
          <w:rFonts w:hint="eastAsia" w:ascii="宋体" w:hAnsi="宋体"/>
          <w:bCs/>
          <w:sz w:val="24"/>
        </w:rPr>
        <w:t>，按应支付金额的1‰赔偿给乙方，</w:t>
      </w:r>
      <w:r>
        <w:rPr>
          <w:rFonts w:ascii="宋体" w:hAnsi="宋体"/>
          <w:bCs/>
          <w:sz w:val="24"/>
        </w:rPr>
        <w:t>但累计</w:t>
      </w:r>
      <w:r>
        <w:rPr>
          <w:rFonts w:hint="eastAsia" w:ascii="宋体" w:hAnsi="宋体"/>
          <w:bCs/>
          <w:sz w:val="24"/>
        </w:rPr>
        <w:t>违约</w:t>
      </w:r>
      <w:r>
        <w:rPr>
          <w:rFonts w:ascii="宋体" w:hAnsi="宋体"/>
          <w:bCs/>
          <w:sz w:val="24"/>
        </w:rPr>
        <w:t>金总额不超过</w:t>
      </w:r>
      <w:r>
        <w:rPr>
          <w:rFonts w:hint="eastAsia" w:ascii="宋体" w:hAnsi="宋体"/>
          <w:bCs/>
          <w:sz w:val="24"/>
        </w:rPr>
        <w:t>合同总金额的2</w:t>
      </w:r>
      <w:r>
        <w:rPr>
          <w:rFonts w:ascii="宋体" w:hAnsi="宋体"/>
          <w:bCs/>
          <w:sz w:val="24"/>
        </w:rPr>
        <w:t>0%。</w:t>
      </w:r>
    </w:p>
    <w:p>
      <w:pPr>
        <w:adjustRightInd w:val="0"/>
        <w:spacing w:line="360" w:lineRule="auto"/>
        <w:ind w:firstLine="480" w:firstLineChars="200"/>
        <w:rPr>
          <w:rFonts w:hint="eastAsia" w:ascii="宋体" w:hAnsi="宋体"/>
          <w:bCs/>
          <w:sz w:val="24"/>
        </w:rPr>
      </w:pPr>
      <w:r>
        <w:rPr>
          <w:rFonts w:hint="eastAsia" w:ascii="宋体" w:hAnsi="宋体"/>
          <w:bCs/>
          <w:sz w:val="24"/>
          <w:lang w:val="en-US" w:eastAsia="zh-CN"/>
        </w:rPr>
        <w:t xml:space="preserve">8.2 </w:t>
      </w:r>
      <w:r>
        <w:rPr>
          <w:rFonts w:ascii="宋体" w:hAnsi="宋体"/>
          <w:bCs/>
          <w:sz w:val="24"/>
        </w:rPr>
        <w:t>乙方逾期</w:t>
      </w:r>
      <w:r>
        <w:rPr>
          <w:rFonts w:hint="eastAsia" w:ascii="宋体" w:hAnsi="宋体"/>
          <w:bCs/>
          <w:sz w:val="24"/>
        </w:rPr>
        <w:t>向甲方</w:t>
      </w:r>
      <w:r>
        <w:rPr>
          <w:rFonts w:ascii="宋体" w:hAnsi="宋体"/>
          <w:bCs/>
          <w:sz w:val="24"/>
        </w:rPr>
        <w:t>交货</w:t>
      </w:r>
      <w:r>
        <w:rPr>
          <w:rFonts w:hint="eastAsia" w:ascii="宋体" w:hAnsi="宋体"/>
          <w:bCs/>
          <w:sz w:val="24"/>
        </w:rPr>
        <w:t>的</w:t>
      </w:r>
      <w:r>
        <w:rPr>
          <w:rFonts w:ascii="宋体" w:hAnsi="宋体"/>
          <w:bCs/>
          <w:sz w:val="24"/>
        </w:rPr>
        <w:t>，每逾期一日</w:t>
      </w:r>
      <w:r>
        <w:rPr>
          <w:rFonts w:hint="eastAsia" w:ascii="宋体" w:hAnsi="宋体"/>
          <w:bCs/>
          <w:sz w:val="24"/>
        </w:rPr>
        <w:t>，按应交货总金额的1‰赔偿给甲方，甲方由此所遭受的一切损失，由乙方承担赔偿责任；</w:t>
      </w:r>
      <w:r>
        <w:rPr>
          <w:rFonts w:ascii="宋体" w:hAnsi="宋体"/>
          <w:bCs/>
          <w:sz w:val="24"/>
        </w:rPr>
        <w:t>逾期达</w:t>
      </w:r>
      <w:r>
        <w:rPr>
          <w:rFonts w:hint="eastAsia" w:ascii="宋体" w:hAnsi="宋体"/>
          <w:bCs/>
          <w:sz w:val="24"/>
        </w:rPr>
        <w:t>30日的</w:t>
      </w:r>
      <w:r>
        <w:rPr>
          <w:rFonts w:ascii="宋体" w:hAnsi="宋体"/>
          <w:bCs/>
          <w:sz w:val="24"/>
        </w:rPr>
        <w:t>，甲方</w:t>
      </w:r>
      <w:r>
        <w:rPr>
          <w:rFonts w:hint="eastAsia" w:ascii="宋体" w:hAnsi="宋体"/>
          <w:bCs/>
          <w:sz w:val="24"/>
        </w:rPr>
        <w:t>有权单方面解除本合同，并要求乙方支付合同总金额的2</w:t>
      </w:r>
      <w:r>
        <w:rPr>
          <w:rFonts w:ascii="宋体" w:hAnsi="宋体"/>
          <w:bCs/>
          <w:sz w:val="24"/>
        </w:rPr>
        <w:t>0%</w:t>
      </w:r>
      <w:r>
        <w:rPr>
          <w:rFonts w:hint="eastAsia" w:ascii="宋体" w:hAnsi="宋体"/>
          <w:bCs/>
          <w:sz w:val="24"/>
        </w:rPr>
        <w:t>作为违约金，一切因乙方不履行或逾期履行本合同所遭受的损失均由乙方承担赔偿责任。</w:t>
      </w:r>
    </w:p>
    <w:p>
      <w:pPr>
        <w:adjustRightInd w:val="0"/>
        <w:spacing w:line="360" w:lineRule="auto"/>
        <w:ind w:firstLine="480" w:firstLineChars="200"/>
        <w:rPr>
          <w:rFonts w:hint="eastAsia" w:ascii="宋体" w:hAnsi="宋体"/>
          <w:bCs/>
          <w:sz w:val="24"/>
        </w:rPr>
      </w:pPr>
      <w:r>
        <w:rPr>
          <w:rFonts w:hint="eastAsia" w:ascii="宋体" w:hAnsi="宋体"/>
          <w:bCs/>
          <w:sz w:val="24"/>
          <w:lang w:val="en-US" w:eastAsia="zh-CN"/>
        </w:rPr>
        <w:t>8.3</w:t>
      </w:r>
      <w:r>
        <w:rPr>
          <w:rFonts w:ascii="宋体" w:hAnsi="宋体"/>
          <w:bCs/>
          <w:sz w:val="24"/>
        </w:rPr>
        <w:t>乙方所交付的货物不符合</w:t>
      </w:r>
      <w:r>
        <w:rPr>
          <w:rFonts w:hint="eastAsia" w:ascii="宋体" w:hAnsi="宋体"/>
          <w:bCs/>
          <w:sz w:val="24"/>
        </w:rPr>
        <w:t>质量要求及其他</w:t>
      </w:r>
      <w:r>
        <w:rPr>
          <w:rFonts w:ascii="宋体" w:hAnsi="宋体"/>
          <w:bCs/>
          <w:sz w:val="24"/>
        </w:rPr>
        <w:t>合同</w:t>
      </w:r>
      <w:r>
        <w:rPr>
          <w:rFonts w:hint="eastAsia" w:ascii="宋体" w:hAnsi="宋体"/>
          <w:bCs/>
          <w:sz w:val="24"/>
        </w:rPr>
        <w:t>约定</w:t>
      </w:r>
      <w:r>
        <w:rPr>
          <w:rFonts w:ascii="宋体" w:hAnsi="宋体"/>
          <w:bCs/>
          <w:sz w:val="24"/>
        </w:rPr>
        <w:t>的，甲方有权要求</w:t>
      </w:r>
      <w:r>
        <w:rPr>
          <w:rFonts w:hint="eastAsia" w:ascii="宋体" w:hAnsi="宋体"/>
          <w:bCs/>
          <w:sz w:val="24"/>
        </w:rPr>
        <w:t>乙方对货物进行更换，若更换一次后，仍未达到要求的，甲方有权拒收货物或要求乙方退货，并要求</w:t>
      </w:r>
      <w:r>
        <w:rPr>
          <w:rFonts w:ascii="宋体" w:hAnsi="宋体"/>
          <w:bCs/>
          <w:sz w:val="24"/>
        </w:rPr>
        <w:t>乙方</w:t>
      </w:r>
      <w:r>
        <w:rPr>
          <w:rFonts w:hint="eastAsia" w:ascii="宋体" w:hAnsi="宋体"/>
          <w:bCs/>
          <w:sz w:val="24"/>
        </w:rPr>
        <w:t>支付不符合合同约定的货物所对应的合同含税价款的2</w:t>
      </w:r>
      <w:r>
        <w:rPr>
          <w:rFonts w:ascii="宋体" w:hAnsi="宋体"/>
          <w:bCs/>
          <w:sz w:val="24"/>
        </w:rPr>
        <w:t>0%</w:t>
      </w:r>
      <w:r>
        <w:rPr>
          <w:rFonts w:hint="eastAsia" w:ascii="宋体" w:hAnsi="宋体"/>
          <w:bCs/>
          <w:sz w:val="24"/>
        </w:rPr>
        <w:t>作为违约金</w:t>
      </w:r>
      <w:r>
        <w:rPr>
          <w:rFonts w:ascii="宋体" w:hAnsi="宋体"/>
          <w:bCs/>
          <w:sz w:val="24"/>
        </w:rPr>
        <w:t>。</w:t>
      </w:r>
      <w:r>
        <w:rPr>
          <w:rFonts w:hint="eastAsia" w:ascii="宋体" w:hAnsi="宋体"/>
          <w:bCs/>
          <w:sz w:val="24"/>
        </w:rPr>
        <w:t>若乙方因所交付的货物不符合合同约定导致逾期交货或安装，则甲方除有权要求乙方按本条款的上述约定承担违约责任外，同时有权要求乙方按本合同的约定承担逾期交货的违约责任。</w:t>
      </w:r>
    </w:p>
    <w:p>
      <w:pPr>
        <w:adjustRightInd w:val="0"/>
        <w:spacing w:line="360" w:lineRule="auto"/>
        <w:ind w:firstLine="480" w:firstLineChars="200"/>
        <w:rPr>
          <w:rFonts w:hint="eastAsia" w:ascii="宋体" w:hAnsi="宋体"/>
          <w:bCs/>
          <w:sz w:val="24"/>
        </w:rPr>
      </w:pPr>
      <w:r>
        <w:rPr>
          <w:rFonts w:hint="eastAsia" w:ascii="宋体" w:hAnsi="宋体"/>
          <w:bCs/>
          <w:sz w:val="24"/>
          <w:lang w:val="en-US" w:eastAsia="zh-CN"/>
        </w:rPr>
        <w:t xml:space="preserve">8.4 </w:t>
      </w:r>
      <w:r>
        <w:rPr>
          <w:rFonts w:ascii="宋体" w:hAnsi="宋体"/>
          <w:bCs/>
          <w:sz w:val="24"/>
        </w:rPr>
        <w:t>质保期内，如经乙方两次维修或更换，货物仍不能达到合同约定的质量标准，甲方有权向乙方退货</w:t>
      </w:r>
      <w:r>
        <w:rPr>
          <w:rFonts w:hint="eastAsia" w:ascii="宋体" w:hAnsi="宋体"/>
          <w:bCs/>
          <w:sz w:val="24"/>
        </w:rPr>
        <w:t>，</w:t>
      </w:r>
      <w:r>
        <w:rPr>
          <w:rFonts w:ascii="宋体" w:hAnsi="宋体"/>
          <w:bCs/>
          <w:sz w:val="24"/>
        </w:rPr>
        <w:t>要求</w:t>
      </w:r>
      <w:r>
        <w:rPr>
          <w:rFonts w:hint="eastAsia" w:ascii="宋体" w:hAnsi="宋体"/>
          <w:bCs/>
          <w:sz w:val="24"/>
        </w:rPr>
        <w:t>乙方</w:t>
      </w:r>
      <w:r>
        <w:rPr>
          <w:rFonts w:ascii="宋体" w:hAnsi="宋体"/>
          <w:bCs/>
          <w:sz w:val="24"/>
        </w:rPr>
        <w:t>返还甲方已付货款</w:t>
      </w:r>
      <w:r>
        <w:rPr>
          <w:rFonts w:hint="eastAsia" w:ascii="宋体" w:hAnsi="宋体"/>
          <w:bCs/>
          <w:sz w:val="24"/>
        </w:rPr>
        <w:t>，</w:t>
      </w:r>
      <w:r>
        <w:rPr>
          <w:rFonts w:ascii="宋体" w:hAnsi="宋体"/>
          <w:bCs/>
          <w:sz w:val="24"/>
        </w:rPr>
        <w:t>同时甲方还有权要求乙方支付所退货物货款总额的</w:t>
      </w:r>
      <w:r>
        <w:rPr>
          <w:rFonts w:hint="eastAsia" w:ascii="宋体" w:hAnsi="宋体"/>
          <w:bCs/>
          <w:sz w:val="24"/>
        </w:rPr>
        <w:t>2</w:t>
      </w:r>
      <w:r>
        <w:rPr>
          <w:rFonts w:ascii="宋体" w:hAnsi="宋体"/>
          <w:bCs/>
          <w:sz w:val="24"/>
        </w:rPr>
        <w:t>0％</w:t>
      </w:r>
      <w:r>
        <w:rPr>
          <w:rFonts w:hint="eastAsia" w:ascii="宋体" w:hAnsi="宋体"/>
          <w:bCs/>
          <w:sz w:val="24"/>
        </w:rPr>
        <w:t>作为</w:t>
      </w:r>
      <w:r>
        <w:rPr>
          <w:rFonts w:ascii="宋体" w:hAnsi="宋体"/>
          <w:bCs/>
          <w:sz w:val="24"/>
        </w:rPr>
        <w:t>违约金并解除本合同。</w:t>
      </w:r>
    </w:p>
    <w:p>
      <w:pPr>
        <w:adjustRightInd w:val="0"/>
        <w:spacing w:line="360" w:lineRule="auto"/>
        <w:ind w:firstLine="480" w:firstLineChars="200"/>
        <w:rPr>
          <w:rFonts w:hint="eastAsia" w:ascii="宋体" w:hAnsi="宋体"/>
          <w:bCs/>
          <w:sz w:val="24"/>
        </w:rPr>
      </w:pPr>
      <w:r>
        <w:rPr>
          <w:rFonts w:hint="eastAsia" w:ascii="宋体" w:hAnsi="宋体"/>
          <w:bCs/>
          <w:sz w:val="24"/>
          <w:lang w:val="en-US" w:eastAsia="zh-CN"/>
        </w:rPr>
        <w:t xml:space="preserve">8.5 </w:t>
      </w:r>
      <w:r>
        <w:rPr>
          <w:rFonts w:hint="eastAsia" w:ascii="宋体" w:hAnsi="宋体"/>
          <w:bCs/>
          <w:sz w:val="24"/>
        </w:rPr>
        <w:t>因一方违约而导致守约方启动司法程序维权的，守约方因实现债权而产生的所有费用（包括但不限于诉讼费、仲裁费、律师代理费、公告费、执行费、差旅费、财产保全费、财产保全保险费、评估费、公证费等），均由违约方承担。</w:t>
      </w:r>
    </w:p>
    <w:p>
      <w:pPr>
        <w:adjustRightInd w:val="0"/>
        <w:spacing w:line="360" w:lineRule="auto"/>
        <w:ind w:firstLine="480" w:firstLineChars="200"/>
        <w:rPr>
          <w:rFonts w:hint="eastAsia" w:ascii="宋体" w:hAnsi="宋体"/>
          <w:bCs/>
          <w:sz w:val="24"/>
        </w:rPr>
      </w:pPr>
      <w:r>
        <w:rPr>
          <w:rFonts w:hint="eastAsia" w:ascii="宋体" w:hAnsi="宋体"/>
          <w:bCs/>
          <w:sz w:val="24"/>
          <w:lang w:val="en-US" w:eastAsia="zh-CN"/>
        </w:rPr>
        <w:t>8.6</w:t>
      </w:r>
      <w:r>
        <w:rPr>
          <w:rFonts w:hint="eastAsia" w:ascii="宋体" w:hAnsi="宋体"/>
          <w:bCs/>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adjustRightInd w:val="0"/>
        <w:spacing w:line="360" w:lineRule="auto"/>
        <w:ind w:left="482"/>
        <w:rPr>
          <w:rFonts w:hint="eastAsia" w:ascii="宋体" w:hAnsi="宋体"/>
          <w:b/>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 送达条款</w:t>
      </w:r>
    </w:p>
    <w:p>
      <w:pPr>
        <w:adjustRightInd w:val="0"/>
        <w:spacing w:line="360" w:lineRule="auto"/>
        <w:ind w:firstLine="480" w:firstLineChars="200"/>
        <w:rPr>
          <w:rFonts w:hint="eastAsia" w:ascii="宋体" w:hAnsi="宋体"/>
          <w:sz w:val="24"/>
        </w:rPr>
      </w:pPr>
      <w:r>
        <w:rPr>
          <w:rFonts w:hint="eastAsia" w:ascii="宋体" w:hAnsi="宋体"/>
          <w:sz w:val="24"/>
          <w:lang w:val="en-US" w:eastAsia="zh-CN"/>
        </w:rPr>
        <w:t xml:space="preserve">9.1 </w:t>
      </w:r>
      <w:r>
        <w:rPr>
          <w:rFonts w:hint="eastAsia" w:ascii="宋体" w:hAnsi="宋体"/>
          <w:sz w:val="24"/>
        </w:rPr>
        <w:t>本合同签订、履行和仲裁、诉讼、执行以及其他法律程序所涉及的相关法律文件，以邮件快递寄送至本合同记载的各方当事人地址或者营业执照记载的住所地，自邮寄快递交邮之日起第3日即视为送达。</w:t>
      </w:r>
    </w:p>
    <w:p>
      <w:pPr>
        <w:adjustRightInd w:val="0"/>
        <w:spacing w:line="360" w:lineRule="auto"/>
        <w:ind w:firstLine="480" w:firstLineChars="200"/>
        <w:rPr>
          <w:rFonts w:hint="eastAsia" w:ascii="宋体" w:hAnsi="宋体"/>
          <w:sz w:val="24"/>
        </w:rPr>
      </w:pPr>
      <w:r>
        <w:rPr>
          <w:rFonts w:hint="eastAsia" w:ascii="宋体" w:hAnsi="宋体"/>
          <w:sz w:val="24"/>
          <w:lang w:val="en-US" w:eastAsia="zh-CN"/>
        </w:rPr>
        <w:t xml:space="preserve">9.2 </w:t>
      </w:r>
      <w:r>
        <w:rPr>
          <w:rFonts w:hint="eastAsia" w:ascii="宋体" w:hAnsi="宋体"/>
          <w:sz w:val="24"/>
        </w:rPr>
        <w:t xml:space="preserve">如果一方地址或住所地发生变更，应当以书面形式通知合同对方及案件受理机构（若有）方为有效，否则造成相关法律文件或者法律文书无法送达的，将视为已经送达，因此产生的法律责任由被送达方自行承担。                                                    </w:t>
      </w:r>
    </w:p>
    <w:p>
      <w:pPr>
        <w:adjustRightInd w:val="0"/>
        <w:spacing w:line="360" w:lineRule="auto"/>
        <w:ind w:firstLine="482" w:firstLineChars="200"/>
        <w:rPr>
          <w:rFonts w:hint="eastAsia" w:ascii="宋体" w:hAnsi="宋体"/>
          <w:b/>
          <w:sz w:val="24"/>
        </w:rPr>
      </w:pPr>
      <w:r>
        <w:rPr>
          <w:rFonts w:hint="eastAsia" w:ascii="宋体" w:hAnsi="宋体"/>
          <w:b/>
          <w:sz w:val="24"/>
        </w:rPr>
        <w:t>第</w:t>
      </w:r>
      <w:r>
        <w:rPr>
          <w:rFonts w:hint="eastAsia" w:ascii="宋体" w:hAnsi="宋体"/>
          <w:b/>
          <w:sz w:val="24"/>
          <w:lang w:val="en-US" w:eastAsia="zh-CN"/>
        </w:rPr>
        <w:t>十</w:t>
      </w:r>
      <w:r>
        <w:rPr>
          <w:rFonts w:hint="eastAsia" w:ascii="宋体" w:hAnsi="宋体"/>
          <w:b/>
          <w:sz w:val="24"/>
        </w:rPr>
        <w:t>条 争议解决</w:t>
      </w:r>
    </w:p>
    <w:p>
      <w:pPr>
        <w:adjustRightInd w:val="0"/>
        <w:spacing w:line="360" w:lineRule="auto"/>
        <w:ind w:firstLine="480" w:firstLineChars="200"/>
        <w:rPr>
          <w:rFonts w:ascii="宋体" w:hAnsi="宋体"/>
          <w:sz w:val="24"/>
        </w:rPr>
      </w:pPr>
      <w:r>
        <w:rPr>
          <w:rFonts w:hint="eastAsia" w:ascii="宋体" w:hAnsi="宋体"/>
          <w:sz w:val="24"/>
          <w:lang w:val="en-US" w:eastAsia="zh-CN"/>
        </w:rPr>
        <w:t xml:space="preserve">10.1 </w:t>
      </w:r>
      <w:r>
        <w:rPr>
          <w:rFonts w:hint="eastAsia" w:ascii="宋体" w:hAnsi="宋体"/>
          <w:sz w:val="24"/>
        </w:rPr>
        <w:t>本合同的签订、效力、履行及任何争议仅适用中华人民共和国法律。</w:t>
      </w:r>
    </w:p>
    <w:p>
      <w:pPr>
        <w:adjustRightInd w:val="0"/>
        <w:spacing w:line="360" w:lineRule="auto"/>
        <w:ind w:firstLine="480" w:firstLineChars="200"/>
        <w:rPr>
          <w:rFonts w:hint="eastAsia" w:ascii="宋体" w:hAnsi="宋体"/>
          <w:sz w:val="24"/>
        </w:rPr>
      </w:pPr>
      <w:r>
        <w:rPr>
          <w:rFonts w:hint="eastAsia" w:ascii="宋体" w:hAnsi="宋体"/>
          <w:sz w:val="24"/>
          <w:lang w:val="en-US" w:eastAsia="zh-CN"/>
        </w:rPr>
        <w:t xml:space="preserve">10.2 </w:t>
      </w:r>
      <w:r>
        <w:rPr>
          <w:rFonts w:hint="eastAsia" w:ascii="宋体" w:hAnsi="宋体"/>
          <w:sz w:val="24"/>
        </w:rPr>
        <w:t>因履行本合同引起的或与本合同有关的争议，甲、乙双方应首先通过友好协商解决，如果协商不能解决争议，则向厦门仲裁委申请仲裁。</w:t>
      </w:r>
      <w:r>
        <w:rPr>
          <w:rFonts w:ascii="宋体" w:hAnsi="宋体"/>
          <w:sz w:val="24"/>
        </w:rPr>
        <w:t>在</w:t>
      </w:r>
      <w:r>
        <w:rPr>
          <w:rFonts w:hint="eastAsia" w:ascii="宋体" w:hAnsi="宋体"/>
          <w:sz w:val="24"/>
        </w:rPr>
        <w:t>仲裁</w:t>
      </w:r>
      <w:r>
        <w:rPr>
          <w:rFonts w:ascii="宋体" w:hAnsi="宋体"/>
          <w:sz w:val="24"/>
        </w:rPr>
        <w:t>期间，除</w:t>
      </w:r>
      <w:r>
        <w:rPr>
          <w:rFonts w:hint="eastAsia" w:ascii="宋体" w:hAnsi="宋体"/>
          <w:sz w:val="24"/>
        </w:rPr>
        <w:t>纠纷</w:t>
      </w:r>
      <w:r>
        <w:rPr>
          <w:rFonts w:ascii="宋体" w:hAnsi="宋体"/>
          <w:sz w:val="24"/>
        </w:rPr>
        <w:t>部分以外，双方应继续执行合同的其余部分。</w:t>
      </w:r>
    </w:p>
    <w:p>
      <w:pPr>
        <w:adjustRightInd w:val="0"/>
        <w:spacing w:line="360" w:lineRule="auto"/>
        <w:ind w:left="482"/>
        <w:rPr>
          <w:rFonts w:hint="eastAsia" w:ascii="宋体" w:hAnsi="宋体"/>
          <w:b/>
          <w:sz w:val="24"/>
        </w:rPr>
      </w:pPr>
      <w:r>
        <w:rPr>
          <w:rFonts w:hint="eastAsia" w:ascii="宋体" w:hAnsi="宋体"/>
          <w:b/>
          <w:sz w:val="24"/>
        </w:rPr>
        <w:t>第十</w:t>
      </w:r>
      <w:r>
        <w:rPr>
          <w:rFonts w:hint="eastAsia" w:ascii="宋体" w:hAnsi="宋体"/>
          <w:b/>
          <w:sz w:val="24"/>
          <w:lang w:val="en-US" w:eastAsia="zh-CN"/>
        </w:rPr>
        <w:t>一</w:t>
      </w:r>
      <w:r>
        <w:rPr>
          <w:rFonts w:hint="eastAsia" w:ascii="宋体" w:hAnsi="宋体"/>
          <w:b/>
          <w:sz w:val="24"/>
        </w:rPr>
        <w:t>条 其  他</w:t>
      </w:r>
    </w:p>
    <w:p>
      <w:pPr>
        <w:adjustRightInd w:val="0"/>
        <w:spacing w:line="360" w:lineRule="auto"/>
        <w:ind w:firstLine="480" w:firstLineChars="200"/>
        <w:rPr>
          <w:rFonts w:ascii="宋体" w:hAnsi="宋体"/>
          <w:sz w:val="24"/>
        </w:rPr>
      </w:pPr>
      <w:r>
        <w:rPr>
          <w:rFonts w:hint="eastAsia" w:ascii="宋体" w:hAnsi="宋体"/>
          <w:sz w:val="24"/>
          <w:lang w:val="en-US" w:eastAsia="zh-CN"/>
        </w:rPr>
        <w:t xml:space="preserve">11.1 </w:t>
      </w:r>
      <w:r>
        <w:rPr>
          <w:rFonts w:hint="eastAsia" w:ascii="宋体" w:hAnsi="宋体"/>
          <w:sz w:val="24"/>
        </w:rPr>
        <w:t>乙方应做好生产、运输、拆卸、安装、调试等安全管理工作，为相关人员、设备、车辆购买保险，如果在全部货物调试完毕交付甲方使用之前发生任何安全责任事故，乙方须承担全部责任，与甲方无关。</w:t>
      </w:r>
    </w:p>
    <w:p>
      <w:pPr>
        <w:adjustRightInd w:val="0"/>
        <w:spacing w:line="360" w:lineRule="auto"/>
        <w:ind w:left="480"/>
        <w:rPr>
          <w:rFonts w:hint="eastAsia" w:ascii="宋体" w:hAnsi="宋体"/>
          <w:sz w:val="24"/>
        </w:rPr>
      </w:pPr>
      <w:r>
        <w:rPr>
          <w:rFonts w:hint="eastAsia" w:ascii="宋体" w:hAnsi="宋体"/>
          <w:sz w:val="24"/>
          <w:lang w:val="en-US" w:eastAsia="zh-CN"/>
        </w:rPr>
        <w:t xml:space="preserve">11.2 </w:t>
      </w:r>
      <w:r>
        <w:rPr>
          <w:rFonts w:hint="eastAsia" w:ascii="宋体" w:hAnsi="宋体"/>
          <w:sz w:val="24"/>
        </w:rPr>
        <w:t>本合同经甲乙双方法定代表人或授权代表签字，并加盖公司印章生效。</w:t>
      </w:r>
    </w:p>
    <w:p>
      <w:pPr>
        <w:adjustRightInd w:val="0"/>
        <w:spacing w:line="360" w:lineRule="auto"/>
        <w:ind w:left="240" w:firstLine="240" w:firstLineChars="100"/>
        <w:rPr>
          <w:rFonts w:hint="eastAsia" w:ascii="宋体" w:hAnsi="宋体"/>
          <w:sz w:val="24"/>
        </w:rPr>
      </w:pPr>
      <w:r>
        <w:rPr>
          <w:rFonts w:hint="eastAsia" w:ascii="宋体" w:hAnsi="宋体"/>
          <w:sz w:val="24"/>
          <w:lang w:val="en-US" w:eastAsia="zh-CN"/>
        </w:rPr>
        <w:t xml:space="preserve">11.3 </w:t>
      </w:r>
      <w:r>
        <w:rPr>
          <w:rFonts w:hint="eastAsia" w:ascii="宋体" w:hAnsi="宋体"/>
          <w:sz w:val="24"/>
        </w:rPr>
        <w:t>本合同壹式</w:t>
      </w:r>
      <w:r>
        <w:rPr>
          <w:rFonts w:hint="eastAsia" w:ascii="宋体" w:hAnsi="宋体"/>
          <w:sz w:val="24"/>
          <w:u w:val="single"/>
        </w:rPr>
        <w:t>四</w:t>
      </w:r>
      <w:r>
        <w:rPr>
          <w:rFonts w:hint="eastAsia" w:ascii="宋体" w:hAnsi="宋体"/>
          <w:sz w:val="24"/>
        </w:rPr>
        <w:t>份，甲方执</w:t>
      </w:r>
      <w:r>
        <w:rPr>
          <w:rFonts w:hint="eastAsia" w:ascii="宋体" w:hAnsi="宋体"/>
          <w:sz w:val="24"/>
          <w:u w:val="single"/>
        </w:rPr>
        <w:t>三</w:t>
      </w:r>
      <w:r>
        <w:rPr>
          <w:rFonts w:hint="eastAsia" w:ascii="宋体" w:hAnsi="宋体"/>
          <w:sz w:val="24"/>
        </w:rPr>
        <w:t>份，乙方执</w:t>
      </w:r>
      <w:r>
        <w:rPr>
          <w:rFonts w:hint="eastAsia" w:ascii="宋体" w:hAnsi="宋体"/>
          <w:sz w:val="24"/>
          <w:u w:val="single"/>
        </w:rPr>
        <w:t>一</w:t>
      </w:r>
      <w:r>
        <w:rPr>
          <w:rFonts w:hint="eastAsia" w:ascii="宋体" w:hAnsi="宋体"/>
          <w:sz w:val="24"/>
        </w:rPr>
        <w:t>份，具有同等法律效力。</w:t>
      </w:r>
    </w:p>
    <w:p>
      <w:pPr>
        <w:adjustRightInd w:val="0"/>
        <w:spacing w:line="360" w:lineRule="auto"/>
        <w:rPr>
          <w:rFonts w:hint="eastAsia"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lang w:val="en-US" w:eastAsia="zh-CN"/>
        </w:rPr>
        <w:t xml:space="preserve">11.4 </w:t>
      </w:r>
      <w:r>
        <w:rPr>
          <w:rFonts w:hint="eastAsia" w:ascii="宋体" w:hAnsi="宋体"/>
          <w:bCs/>
          <w:sz w:val="24"/>
        </w:rPr>
        <w:t>本合同附件作为本合同不可分割的组成部分，与本合同具有同等法律效力。</w:t>
      </w:r>
    </w:p>
    <w:p>
      <w:pPr>
        <w:spacing w:line="460" w:lineRule="exact"/>
        <w:ind w:left="-540" w:leftChars="-257"/>
        <w:jc w:val="left"/>
        <w:rPr>
          <w:sz w:val="24"/>
        </w:rPr>
      </w:pPr>
      <w:r>
        <w:rPr>
          <w:rFonts w:hint="eastAsia"/>
          <w:sz w:val="24"/>
        </w:rPr>
        <w:t xml:space="preserve">甲方：嘉庚创新实验室 </w:t>
      </w:r>
      <w:r>
        <w:rPr>
          <w:rFonts w:hint="eastAsia"/>
          <w:bCs/>
          <w:sz w:val="24"/>
        </w:rPr>
        <w:t xml:space="preserve">       </w:t>
      </w:r>
      <w:r>
        <w:rPr>
          <w:rFonts w:hint="eastAsia"/>
          <w:sz w:val="24"/>
        </w:rPr>
        <w:t xml:space="preserve">            乙方： </w:t>
      </w:r>
    </w:p>
    <w:p>
      <w:pPr>
        <w:spacing w:line="460" w:lineRule="exact"/>
        <w:ind w:left="-179" w:leftChars="-257" w:hanging="361"/>
        <w:jc w:val="left"/>
        <w:rPr>
          <w:sz w:val="24"/>
        </w:rPr>
      </w:pPr>
      <w:r>
        <w:rPr>
          <w:rFonts w:hint="eastAsia"/>
          <w:sz w:val="24"/>
        </w:rPr>
        <w:t>签约代表：                              代表：</w:t>
      </w:r>
    </w:p>
    <w:p>
      <w:pPr>
        <w:spacing w:line="460" w:lineRule="exact"/>
        <w:ind w:left="-179" w:leftChars="-257" w:hanging="361"/>
        <w:jc w:val="left"/>
        <w:rPr>
          <w:sz w:val="24"/>
        </w:rPr>
      </w:pPr>
      <w:r>
        <w:rPr>
          <w:rFonts w:hint="eastAsia"/>
          <w:sz w:val="24"/>
        </w:rPr>
        <w:t xml:space="preserve">开户行：工行厦门厦大支行                开户行： </w:t>
      </w:r>
    </w:p>
    <w:p>
      <w:pPr>
        <w:spacing w:line="460" w:lineRule="exact"/>
        <w:ind w:left="-179" w:leftChars="-257" w:hanging="361"/>
        <w:jc w:val="left"/>
        <w:rPr>
          <w:sz w:val="24"/>
        </w:rPr>
      </w:pPr>
      <w:r>
        <w:rPr>
          <w:rFonts w:hint="eastAsia" w:ascii="宋体" w:hAnsi="宋体"/>
          <w:sz w:val="24"/>
        </w:rPr>
        <w:t>纳税人识别号：12350000MB1C15088Q</w:t>
      </w:r>
      <w:r>
        <w:rPr>
          <w:rFonts w:hint="eastAsia"/>
          <w:sz w:val="24"/>
        </w:rPr>
        <w:t xml:space="preserve">        账号： </w:t>
      </w:r>
    </w:p>
    <w:p>
      <w:pPr>
        <w:spacing w:line="460" w:lineRule="exact"/>
        <w:ind w:left="-179" w:leftChars="-257" w:hanging="361"/>
        <w:jc w:val="left"/>
        <w:rPr>
          <w:sz w:val="24"/>
        </w:rPr>
      </w:pPr>
      <w:r>
        <w:rPr>
          <w:rFonts w:hint="eastAsia"/>
          <w:sz w:val="24"/>
        </w:rPr>
        <w:t>合同邮寄地址：厦门大学翔安校区能源      地址：</w:t>
      </w:r>
    </w:p>
    <w:p>
      <w:pPr>
        <w:spacing w:line="460" w:lineRule="exact"/>
        <w:ind w:left="-179" w:leftChars="-257" w:hanging="361"/>
        <w:jc w:val="left"/>
        <w:rPr>
          <w:sz w:val="24"/>
        </w:rPr>
      </w:pPr>
      <w:r>
        <w:rPr>
          <w:rFonts w:hint="eastAsia"/>
          <w:sz w:val="24"/>
        </w:rPr>
        <w:t xml:space="preserve">材料大楼3404室                         </w:t>
      </w:r>
      <w:r>
        <w:rPr>
          <w:rFonts w:hint="eastAsia" w:ascii="宋体" w:hAnsi="宋体"/>
          <w:sz w:val="24"/>
        </w:rPr>
        <w:t xml:space="preserve"> </w:t>
      </w:r>
    </w:p>
    <w:p>
      <w:pPr>
        <w:spacing w:line="460" w:lineRule="exact"/>
        <w:ind w:left="-179" w:leftChars="-257" w:hanging="361"/>
        <w:jc w:val="left"/>
        <w:rPr>
          <w:sz w:val="24"/>
        </w:rPr>
      </w:pPr>
      <w:r>
        <w:rPr>
          <w:rFonts w:hint="eastAsia"/>
          <w:sz w:val="24"/>
        </w:rPr>
        <w:t xml:space="preserve">电话：0592-2882502                      移动电话: </w:t>
      </w:r>
    </w:p>
    <w:p>
      <w:pPr>
        <w:spacing w:line="460" w:lineRule="exact"/>
        <w:ind w:left="-179" w:leftChars="-257" w:hanging="361"/>
        <w:jc w:val="left"/>
        <w:rPr>
          <w:sz w:val="24"/>
        </w:rPr>
      </w:pPr>
      <w:r>
        <w:rPr>
          <w:rFonts w:hint="eastAsia"/>
          <w:sz w:val="24"/>
        </w:rPr>
        <w:t>使用方：</w:t>
      </w:r>
    </w:p>
    <w:p>
      <w:pPr>
        <w:spacing w:line="460" w:lineRule="exact"/>
        <w:ind w:left="-179" w:leftChars="-257" w:hanging="361"/>
        <w:jc w:val="left"/>
        <w:rPr>
          <w:rFonts w:hint="eastAsia"/>
          <w:sz w:val="24"/>
          <w:lang w:val="en-US" w:eastAsia="zh-CN"/>
        </w:rPr>
      </w:pPr>
      <w:r>
        <w:rPr>
          <w:rFonts w:hint="eastAsia"/>
          <w:sz w:val="24"/>
        </w:rPr>
        <w:t>使用方代表及电话</w:t>
      </w:r>
      <w:r>
        <w:rPr>
          <w:rFonts w:hint="eastAsia"/>
          <w:sz w:val="24"/>
          <w:lang w:val="en-US" w:eastAsia="zh-CN"/>
        </w:rPr>
        <w:t>;</w:t>
      </w:r>
    </w:p>
    <w:p>
      <w:pPr>
        <w:spacing w:line="460" w:lineRule="exact"/>
        <w:ind w:left="-179" w:leftChars="-257" w:hanging="361"/>
        <w:jc w:val="left"/>
        <w:rPr>
          <w:rFonts w:hint="eastAsia"/>
          <w:sz w:val="24"/>
        </w:rPr>
      </w:pPr>
      <w:r>
        <w:rPr>
          <w:rFonts w:hint="eastAsia"/>
          <w:sz w:val="24"/>
        </w:rPr>
        <w:t>收货地址：</w:t>
      </w:r>
    </w:p>
    <w:p>
      <w:pPr>
        <w:spacing w:line="460" w:lineRule="exact"/>
        <w:ind w:left="-179" w:leftChars="-257" w:hanging="361"/>
        <w:jc w:val="left"/>
        <w:rPr>
          <w:rFonts w:hint="eastAsia"/>
          <w:sz w:val="24"/>
        </w:rPr>
      </w:pPr>
      <w:r>
        <w:rPr>
          <w:rFonts w:hint="eastAsia"/>
          <w:sz w:val="24"/>
        </w:rPr>
        <w:t xml:space="preserve">本合同签订日期：  年  月  日    </w:t>
      </w: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FZZhunYuan-M02S">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2">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6"/>
  </w:num>
  <w:num w:numId="2">
    <w:abstractNumId w:val="7"/>
  </w:num>
  <w:num w:numId="3">
    <w:abstractNumId w:val="3"/>
  </w:num>
  <w:num w:numId="4">
    <w:abstractNumId w:val="5"/>
  </w:num>
  <w:num w:numId="5">
    <w:abstractNumId w:val="8"/>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80244"/>
    <w:rsid w:val="000A473E"/>
    <w:rsid w:val="000D16EE"/>
    <w:rsid w:val="000F3864"/>
    <w:rsid w:val="00111B2D"/>
    <w:rsid w:val="0013555B"/>
    <w:rsid w:val="00143854"/>
    <w:rsid w:val="001A5CE4"/>
    <w:rsid w:val="001F0072"/>
    <w:rsid w:val="002024AD"/>
    <w:rsid w:val="00271E4F"/>
    <w:rsid w:val="00363E7F"/>
    <w:rsid w:val="003952B5"/>
    <w:rsid w:val="003A7214"/>
    <w:rsid w:val="003B5EF3"/>
    <w:rsid w:val="003E17BF"/>
    <w:rsid w:val="00404174"/>
    <w:rsid w:val="004443A9"/>
    <w:rsid w:val="00454B35"/>
    <w:rsid w:val="00466E9E"/>
    <w:rsid w:val="004F204B"/>
    <w:rsid w:val="004F2137"/>
    <w:rsid w:val="0050790C"/>
    <w:rsid w:val="00515C0E"/>
    <w:rsid w:val="005E39D7"/>
    <w:rsid w:val="00607AB4"/>
    <w:rsid w:val="006216EC"/>
    <w:rsid w:val="00666B09"/>
    <w:rsid w:val="006728FA"/>
    <w:rsid w:val="00675A1F"/>
    <w:rsid w:val="006B03C3"/>
    <w:rsid w:val="006D1705"/>
    <w:rsid w:val="00724054"/>
    <w:rsid w:val="00756C6B"/>
    <w:rsid w:val="00786041"/>
    <w:rsid w:val="0083518E"/>
    <w:rsid w:val="008B7766"/>
    <w:rsid w:val="008F7026"/>
    <w:rsid w:val="00926E68"/>
    <w:rsid w:val="00986620"/>
    <w:rsid w:val="00987B37"/>
    <w:rsid w:val="009A147A"/>
    <w:rsid w:val="009B120D"/>
    <w:rsid w:val="00A20425"/>
    <w:rsid w:val="00A33A9C"/>
    <w:rsid w:val="00A344A9"/>
    <w:rsid w:val="00A40C44"/>
    <w:rsid w:val="00A47D6B"/>
    <w:rsid w:val="00A9547E"/>
    <w:rsid w:val="00AE539C"/>
    <w:rsid w:val="00AF6147"/>
    <w:rsid w:val="00B2170A"/>
    <w:rsid w:val="00B777BC"/>
    <w:rsid w:val="00BE4315"/>
    <w:rsid w:val="00C21064"/>
    <w:rsid w:val="00C3212D"/>
    <w:rsid w:val="00CF7445"/>
    <w:rsid w:val="00D2251F"/>
    <w:rsid w:val="00D26206"/>
    <w:rsid w:val="00D54DBB"/>
    <w:rsid w:val="00D862E1"/>
    <w:rsid w:val="00DD0133"/>
    <w:rsid w:val="00E374FB"/>
    <w:rsid w:val="00E57DF0"/>
    <w:rsid w:val="00E758C5"/>
    <w:rsid w:val="00EA7473"/>
    <w:rsid w:val="00EC6923"/>
    <w:rsid w:val="00EE17BD"/>
    <w:rsid w:val="00EE1B72"/>
    <w:rsid w:val="00EE574B"/>
    <w:rsid w:val="00EE7C8F"/>
    <w:rsid w:val="00EF6FE7"/>
    <w:rsid w:val="00F32034"/>
    <w:rsid w:val="00F86D5A"/>
    <w:rsid w:val="00FA57DF"/>
    <w:rsid w:val="01335132"/>
    <w:rsid w:val="0BE03768"/>
    <w:rsid w:val="121046EC"/>
    <w:rsid w:val="124C124F"/>
    <w:rsid w:val="12B341EA"/>
    <w:rsid w:val="12C5401A"/>
    <w:rsid w:val="146B12E9"/>
    <w:rsid w:val="19DC45B9"/>
    <w:rsid w:val="1CD91C97"/>
    <w:rsid w:val="2ADA0F0C"/>
    <w:rsid w:val="2CA10230"/>
    <w:rsid w:val="2DA57A2F"/>
    <w:rsid w:val="2DDB6773"/>
    <w:rsid w:val="2E1351A1"/>
    <w:rsid w:val="2E5F4881"/>
    <w:rsid w:val="2EA64C67"/>
    <w:rsid w:val="30387A5F"/>
    <w:rsid w:val="31811C32"/>
    <w:rsid w:val="326B7E8B"/>
    <w:rsid w:val="3375635B"/>
    <w:rsid w:val="34826751"/>
    <w:rsid w:val="36D36FF4"/>
    <w:rsid w:val="376357E1"/>
    <w:rsid w:val="39F4487A"/>
    <w:rsid w:val="3ABA67BF"/>
    <w:rsid w:val="40EF77EF"/>
    <w:rsid w:val="43E942BE"/>
    <w:rsid w:val="4A8D603B"/>
    <w:rsid w:val="4B6B5642"/>
    <w:rsid w:val="50275A13"/>
    <w:rsid w:val="5152568B"/>
    <w:rsid w:val="578B162C"/>
    <w:rsid w:val="57B427BE"/>
    <w:rsid w:val="5AED68F4"/>
    <w:rsid w:val="5E6A6CDE"/>
    <w:rsid w:val="61264F5A"/>
    <w:rsid w:val="62170FA9"/>
    <w:rsid w:val="63E7493A"/>
    <w:rsid w:val="699924A6"/>
    <w:rsid w:val="6A163CBA"/>
    <w:rsid w:val="6BC937D7"/>
    <w:rsid w:val="6BE76F67"/>
    <w:rsid w:val="6D82743B"/>
    <w:rsid w:val="6E4D070F"/>
    <w:rsid w:val="6EB56E53"/>
    <w:rsid w:val="75DC5B88"/>
    <w:rsid w:val="77C217DB"/>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link w:val="16"/>
    <w:qFormat/>
    <w:uiPriority w:val="0"/>
    <w:rPr>
      <w:rFonts w:ascii="宋体" w:hAnsi="Courier New" w:cs="Courier New"/>
      <w:szCs w:val="21"/>
    </w:rPr>
  </w:style>
  <w:style w:type="paragraph" w:styleId="5">
    <w:name w:val="Body Text Indent 2"/>
    <w:basedOn w:val="1"/>
    <w:link w:val="17"/>
    <w:unhideWhenUsed/>
    <w:qFormat/>
    <w:uiPriority w:val="0"/>
    <w:pPr>
      <w:spacing w:after="120" w:line="480" w:lineRule="auto"/>
      <w:ind w:left="420" w:leftChars="200"/>
    </w:pPr>
  </w:style>
  <w:style w:type="paragraph" w:styleId="6">
    <w:name w:val="Balloon Text"/>
    <w:basedOn w:val="1"/>
    <w:link w:val="24"/>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36" w:after="68"/>
      <w:jc w:val="left"/>
    </w:pPr>
    <w:rPr>
      <w:rFonts w:ascii="Verdana" w:hAnsi="Verdana" w:cs="宋体"/>
      <w:color w:val="333333"/>
      <w:kern w:val="0"/>
      <w:sz w:val="16"/>
      <w:szCs w:val="16"/>
    </w:rPr>
  </w:style>
  <w:style w:type="paragraph" w:styleId="10">
    <w:name w:val="Title"/>
    <w:basedOn w:val="1"/>
    <w:qFormat/>
    <w:uiPriority w:val="0"/>
    <w:pPr>
      <w:spacing w:before="240" w:after="60" w:line="360" w:lineRule="auto"/>
      <w:jc w:val="left"/>
      <w:outlineLvl w:val="0"/>
    </w:pPr>
    <w:rPr>
      <w:b/>
      <w:sz w:val="28"/>
      <w:szCs w:val="20"/>
    </w:rPr>
  </w:style>
  <w:style w:type="table" w:styleId="12">
    <w:name w:val="Table Grid"/>
    <w:basedOn w:val="1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customStyle="1" w:styleId="15">
    <w:name w:val="标题 1 字符"/>
    <w:basedOn w:val="13"/>
    <w:link w:val="2"/>
    <w:qFormat/>
    <w:uiPriority w:val="99"/>
    <w:rPr>
      <w:rFonts w:ascii="宋体" w:hAnsi="Times New Roman" w:eastAsia="宋体" w:cs="Times New Roman"/>
      <w:b/>
      <w:kern w:val="44"/>
      <w:sz w:val="32"/>
      <w:szCs w:val="20"/>
    </w:rPr>
  </w:style>
  <w:style w:type="character" w:customStyle="1" w:styleId="16">
    <w:name w:val="纯文本 字符"/>
    <w:basedOn w:val="13"/>
    <w:link w:val="4"/>
    <w:qFormat/>
    <w:uiPriority w:val="0"/>
    <w:rPr>
      <w:rFonts w:ascii="宋体" w:hAnsi="Courier New" w:eastAsia="宋体" w:cs="Courier New"/>
      <w:szCs w:val="21"/>
    </w:rPr>
  </w:style>
  <w:style w:type="character" w:customStyle="1" w:styleId="17">
    <w:name w:val="正文文本缩进 2 字符"/>
    <w:basedOn w:val="13"/>
    <w:link w:val="5"/>
    <w:qFormat/>
    <w:uiPriority w:val="0"/>
    <w:rPr>
      <w:rFonts w:ascii="Times New Roman" w:hAnsi="Times New Roman" w:eastAsia="宋体" w:cs="Times New Roman"/>
      <w:szCs w:val="24"/>
    </w:rPr>
  </w:style>
  <w:style w:type="character" w:customStyle="1" w:styleId="18">
    <w:name w:val="页脚 字符"/>
    <w:basedOn w:val="13"/>
    <w:link w:val="7"/>
    <w:qFormat/>
    <w:uiPriority w:val="99"/>
    <w:rPr>
      <w:rFonts w:ascii="Times New Roman" w:hAnsi="Times New Roman" w:eastAsia="宋体" w:cs="Times New Roman"/>
      <w:sz w:val="18"/>
      <w:szCs w:val="18"/>
    </w:rPr>
  </w:style>
  <w:style w:type="character" w:customStyle="1" w:styleId="19">
    <w:name w:val="页眉 字符"/>
    <w:basedOn w:val="13"/>
    <w:link w:val="8"/>
    <w:qFormat/>
    <w:uiPriority w:val="99"/>
    <w:rPr>
      <w:rFonts w:ascii="Times New Roman" w:hAnsi="Times New Roman" w:eastAsia="宋体" w:cs="Times New Roman"/>
      <w:sz w:val="18"/>
      <w:szCs w:val="18"/>
    </w:rPr>
  </w:style>
  <w:style w:type="paragraph" w:customStyle="1" w:styleId="20">
    <w:name w:val="列出段落1"/>
    <w:basedOn w:val="1"/>
    <w:qFormat/>
    <w:uiPriority w:val="34"/>
    <w:pPr>
      <w:ind w:firstLine="420" w:firstLineChars="200"/>
    </w:pPr>
  </w:style>
  <w:style w:type="paragraph" w:customStyle="1" w:styleId="21">
    <w:name w:val="样式1"/>
    <w:basedOn w:val="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2">
    <w:name w:val="p0"/>
    <w:basedOn w:val="1"/>
    <w:qFormat/>
    <w:uiPriority w:val="0"/>
    <w:pPr>
      <w:widowControl/>
    </w:pPr>
    <w:rPr>
      <w:kern w:val="0"/>
      <w:szCs w:val="21"/>
    </w:rPr>
  </w:style>
  <w:style w:type="paragraph" w:styleId="2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4">
    <w:name w:val="批注框文本 字符"/>
    <w:basedOn w:val="13"/>
    <w:link w:val="6"/>
    <w:semiHidden/>
    <w:qFormat/>
    <w:uiPriority w:val="99"/>
    <w:rPr>
      <w:rFonts w:ascii="Times New Roman" w:hAnsi="Times New Roman" w:eastAsia="宋体" w:cs="Times New Roman"/>
      <w:sz w:val="18"/>
      <w:szCs w:val="18"/>
    </w:rPr>
  </w:style>
  <w:style w:type="paragraph" w:customStyle="1" w:styleId="25">
    <w:name w:val="样式3"/>
    <w:basedOn w:val="4"/>
    <w:qFormat/>
    <w:uiPriority w:val="0"/>
    <w:pPr>
      <w:spacing w:line="0" w:lineRule="atLeast"/>
      <w:outlineLvl w:val="0"/>
    </w:pPr>
    <w:rPr>
      <w:rFonts w:cs="Times New Roman"/>
      <w:sz w:val="28"/>
      <w:szCs w:val="24"/>
    </w:rPr>
  </w:style>
  <w:style w:type="paragraph" w:styleId="26">
    <w:name w:val="No Spacing"/>
    <w:qFormat/>
    <w:uiPriority w:val="1"/>
    <w:pPr>
      <w:widowControl w:val="0"/>
      <w:spacing w:line="360" w:lineRule="auto"/>
      <w:ind w:firstLine="100" w:firstLineChars="100"/>
    </w:pPr>
    <w:rPr>
      <w:rFonts w:ascii="Times New Roman" w:hAnsi="Times New Roman" w:eastAsia="宋体" w:cs="Times New Roman"/>
      <w:b/>
      <w:kern w:val="2"/>
      <w:sz w:val="21"/>
      <w:szCs w:val="24"/>
      <w:lang w:val="en-US" w:eastAsia="zh-CN" w:bidi="ar-SA"/>
    </w:rPr>
  </w:style>
  <w:style w:type="paragraph" w:customStyle="1" w:styleId="27">
    <w:name w:val="设备标题"/>
    <w:basedOn w:val="1"/>
    <w:qFormat/>
    <w:uiPriority w:val="1"/>
    <w:pPr>
      <w:autoSpaceDE w:val="0"/>
      <w:autoSpaceDN w:val="0"/>
      <w:spacing w:before="39" w:line="480" w:lineRule="auto"/>
      <w:jc w:val="left"/>
    </w:pPr>
    <w:rPr>
      <w:rFonts w:ascii="宋体" w:hAnsi="宋体" w:cs="宋体"/>
      <w:b/>
      <w:kern w:val="0"/>
      <w:sz w:val="24"/>
      <w:szCs w:val="22"/>
      <w:lang w:val="zh-CN" w:bidi="zh-CN"/>
    </w:rPr>
  </w:style>
  <w:style w:type="paragraph" w:customStyle="1" w:styleId="28">
    <w:name w:val="Default"/>
    <w:qFormat/>
    <w:uiPriority w:val="0"/>
    <w:pPr>
      <w:widowControl w:val="0"/>
      <w:autoSpaceDE w:val="0"/>
      <w:autoSpaceDN w:val="0"/>
      <w:adjustRightInd w:val="0"/>
    </w:pPr>
    <w:rPr>
      <w:rFonts w:ascii="FZZhunYuan-M02S" w:hAnsi="Times New Roman" w:eastAsia="FZZhunYuan-M02S" w:cs="FZZhunYuan-M02S"/>
      <w:color w:val="000000"/>
      <w:sz w:val="24"/>
      <w:szCs w:val="24"/>
      <w:lang w:val="en-US" w:eastAsia="zh-CN" w:bidi="ar-SA"/>
    </w:rPr>
  </w:style>
  <w:style w:type="table" w:customStyle="1" w:styleId="29">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22923-BB27-4A70-9A53-84F8D9EC51E4}">
  <ds:schemaRefs/>
</ds:datastoreItem>
</file>

<file path=docProps/app.xml><?xml version="1.0" encoding="utf-8"?>
<Properties xmlns="http://schemas.openxmlformats.org/officeDocument/2006/extended-properties" xmlns:vt="http://schemas.openxmlformats.org/officeDocument/2006/docPropsVTypes">
  <Template>Normal</Template>
  <Pages>32</Pages>
  <Words>2633</Words>
  <Characters>15011</Characters>
  <Lines>125</Lines>
  <Paragraphs>35</Paragraphs>
  <TotalTime>0</TotalTime>
  <ScaleCrop>false</ScaleCrop>
  <LinksUpToDate>false</LinksUpToDate>
  <CharactersWithSpaces>17609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2020-10-12T03:16:00Z</dcterms:created>
  <dc:creator>朱水林</dc:creator>
  <cp:lastModifiedBy>ZhuoyaHE</cp:lastModifiedBy>
  <dcterms:modified xsi:type="dcterms:W3CDTF">2021-08-19T08:14:29Z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EAE56DD31BC0479FB03C55BDF53F3746</vt:lpwstr>
  </property>
</Properties>
</file>