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ind w:firstLine="3253" w:firstLineChars="900"/>
        <w:rPr>
          <w:rFonts w:ascii="宋体" w:hAnsi="宋体"/>
          <w:b/>
          <w:bCs/>
          <w:sz w:val="36"/>
          <w:szCs w:val="28"/>
        </w:rPr>
      </w:pPr>
    </w:p>
    <w:p>
      <w:pPr>
        <w:ind w:firstLine="1807" w:firstLineChars="500"/>
        <w:rPr>
          <w:rFonts w:ascii="宋体" w:hAnsi="宋体"/>
          <w:b/>
          <w:bCs/>
          <w:sz w:val="36"/>
          <w:szCs w:val="28"/>
        </w:rPr>
      </w:pPr>
      <w:r>
        <w:rPr>
          <w:rFonts w:hint="eastAsia" w:ascii="宋体" w:hAnsi="宋体"/>
          <w:b/>
          <w:bCs/>
          <w:sz w:val="36"/>
          <w:szCs w:val="28"/>
        </w:rPr>
        <w:t>快速换样低温光学电学恒温腔</w:t>
      </w:r>
    </w:p>
    <w:p>
      <w:pPr>
        <w:ind w:firstLine="1807" w:firstLineChars="5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JGYQ-2021TP-030</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hint="eastAsia" w:ascii="宋体" w:hAnsi="宋体"/>
          <w:b/>
          <w:bCs/>
          <w:sz w:val="28"/>
          <w:szCs w:val="28"/>
          <w:lang w:val="en-US" w:eastAsia="zh-CN"/>
        </w:rPr>
        <w:t>6</w:t>
      </w:r>
      <w:r>
        <w:rPr>
          <w:rFonts w:hint="eastAsia" w:ascii="宋体" w:hAnsi="宋体"/>
          <w:b/>
          <w:bCs/>
          <w:sz w:val="28"/>
          <w:szCs w:val="28"/>
        </w:rPr>
        <w:t>月</w:t>
      </w:r>
      <w:r>
        <w:rPr>
          <w:rFonts w:hint="eastAsia" w:ascii="宋体" w:hAnsi="宋体"/>
          <w:b/>
          <w:bCs/>
          <w:sz w:val="28"/>
          <w:szCs w:val="28"/>
          <w:lang w:val="en-US" w:eastAsia="zh-CN"/>
        </w:rPr>
        <w:t>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快速换样低温光学电学恒温腔</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采购编号：JGYQ-2021TP-030</w:t>
      </w:r>
    </w:p>
    <w:p>
      <w:pPr>
        <w:numPr>
          <w:ilvl w:val="0"/>
          <w:numId w:val="2"/>
        </w:numPr>
        <w:spacing w:line="360" w:lineRule="auto"/>
        <w:rPr>
          <w:rFonts w:ascii="宋体"/>
          <w:sz w:val="28"/>
          <w:szCs w:val="28"/>
        </w:rPr>
      </w:pPr>
      <w:r>
        <w:rPr>
          <w:rFonts w:hint="eastAsia" w:ascii="宋体" w:hAnsi="宋体"/>
          <w:sz w:val="28"/>
          <w:szCs w:val="28"/>
        </w:rPr>
        <w:t>采购项目：测量分析仪器设备</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highlight w:val="none"/>
        </w:rPr>
        <w:t>810000元</w:t>
      </w:r>
      <w:r>
        <w:rPr>
          <w:rFonts w:hint="eastAsia" w:ascii="宋体" w:hAnsi="宋体"/>
          <w:sz w:val="28"/>
          <w:szCs w:val="28"/>
        </w:rPr>
        <w:t>（最高控制价，人民币包干或需预留空间予用户支付报关报检及外贸代理等相关费用）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报价截止和磋商时间：2021年6月</w:t>
      </w:r>
      <w:r>
        <w:rPr>
          <w:rFonts w:hint="eastAsia" w:ascii="宋体" w:hAnsi="宋体"/>
          <w:sz w:val="28"/>
          <w:szCs w:val="28"/>
          <w:highlight w:val="none"/>
          <w:lang w:val="en-US" w:eastAsia="zh-CN"/>
        </w:rPr>
        <w:t>18</w:t>
      </w:r>
      <w:r>
        <w:rPr>
          <w:rFonts w:hint="eastAsia" w:ascii="宋体" w:hAnsi="宋体"/>
          <w:sz w:val="28"/>
          <w:szCs w:val="28"/>
          <w:highlight w:val="none"/>
        </w:rPr>
        <w:t>日上午</w:t>
      </w:r>
      <w:r>
        <w:rPr>
          <w:rFonts w:hint="eastAsia" w:ascii="宋体" w:hAnsi="宋体"/>
          <w:sz w:val="28"/>
          <w:szCs w:val="28"/>
          <w:highlight w:val="none"/>
          <w:lang w:val="en-US" w:eastAsia="zh-CN"/>
        </w:rPr>
        <w:t>9</w:t>
      </w:r>
      <w:r>
        <w:rPr>
          <w:rFonts w:hint="eastAsia" w:ascii="宋体" w:hAnsi="宋体"/>
          <w:sz w:val="28"/>
          <w:szCs w:val="28"/>
          <w:highlight w:val="none"/>
        </w:rPr>
        <w:t>：</w:t>
      </w:r>
      <w:r>
        <w:rPr>
          <w:rFonts w:hint="eastAsia" w:ascii="宋体" w:hAnsi="宋体"/>
          <w:sz w:val="28"/>
          <w:szCs w:val="28"/>
          <w:highlight w:val="none"/>
          <w:lang w:val="en-US" w:eastAsia="zh-CN"/>
        </w:rPr>
        <w:t>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报名及磋商文件发售截至时间：报价人必须在2021年6月</w:t>
      </w:r>
      <w:r>
        <w:rPr>
          <w:rFonts w:hint="eastAsia" w:ascii="宋体" w:hAnsi="宋体"/>
          <w:sz w:val="28"/>
          <w:szCs w:val="28"/>
          <w:lang w:val="en-US" w:eastAsia="zh-CN"/>
        </w:rPr>
        <w:t>17</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w:t>
      </w:r>
      <w:r>
        <w:rPr>
          <w:rFonts w:hint="eastAsia" w:ascii="宋体" w:hAnsi="宋体"/>
          <w:sz w:val="28"/>
          <w:szCs w:val="28"/>
          <w:highlight w:val="none"/>
        </w:rPr>
        <w:t>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s="宋体"/>
          <w:color w:val="000000"/>
          <w:sz w:val="28"/>
          <w:szCs w:val="28"/>
        </w:rPr>
      </w:pPr>
      <w:r>
        <w:rPr>
          <w:rFonts w:hint="eastAsia" w:ascii="宋体" w:hAnsi="宋体"/>
          <w:sz w:val="28"/>
          <w:szCs w:val="28"/>
        </w:rPr>
        <w:t xml:space="preserve">技术需求方面请联系用户单位：李老师 </w:t>
      </w:r>
      <w:r>
        <w:rPr>
          <w:rFonts w:hint="eastAsia" w:ascii="宋体" w:hAnsi="宋体" w:cs="宋体"/>
          <w:color w:val="000000"/>
          <w:sz w:val="28"/>
          <w:szCs w:val="28"/>
        </w:rPr>
        <w:t>13057688266</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 xml:space="preserve"> 0592-2882502</w:t>
      </w:r>
    </w:p>
    <w:p>
      <w:pPr>
        <w:spacing w:line="360" w:lineRule="auto"/>
        <w:ind w:firstLine="840" w:firstLineChars="400"/>
        <w:rPr>
          <w:rFonts w:ascii="宋体" w:hAnsi="宋体"/>
          <w:sz w:val="28"/>
          <w:szCs w:val="28"/>
        </w:rPr>
      </w:pPr>
      <w:r>
        <w:fldChar w:fldCharType="begin"/>
      </w:r>
      <w:r>
        <w:instrText xml:space="preserve"> HYPERLINK "mailto:li.nan@xmu.edu.cn" </w:instrText>
      </w:r>
      <w:r>
        <w:fldChar w:fldCharType="separate"/>
      </w:r>
      <w:r>
        <w:rPr>
          <w:rFonts w:hint="eastAsia" w:ascii="宋体" w:hAnsi="宋体"/>
          <w:sz w:val="28"/>
          <w:szCs w:val="28"/>
        </w:rPr>
        <w:t>li.nan@xmu.edu.cn</w:t>
      </w:r>
      <w:r>
        <w:rPr>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105"/>
        <w:gridCol w:w="1212"/>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1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10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21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374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16" w:type="dxa"/>
            <w:vAlign w:val="center"/>
          </w:tcPr>
          <w:p>
            <w:pPr>
              <w:widowControl/>
              <w:jc w:val="center"/>
              <w:rPr>
                <w:color w:val="000000"/>
                <w:kern w:val="0"/>
                <w:sz w:val="20"/>
                <w:szCs w:val="20"/>
              </w:rPr>
            </w:pPr>
            <w:r>
              <w:rPr>
                <w:color w:val="000000"/>
                <w:kern w:val="0"/>
                <w:sz w:val="20"/>
                <w:szCs w:val="20"/>
              </w:rPr>
              <w:t>1</w:t>
            </w:r>
          </w:p>
        </w:tc>
        <w:tc>
          <w:tcPr>
            <w:tcW w:w="2105" w:type="dxa"/>
            <w:shd w:val="clear" w:color="000000" w:fill="FFFFFF"/>
            <w:vAlign w:val="center"/>
          </w:tcPr>
          <w:p>
            <w:pPr>
              <w:widowControl/>
              <w:jc w:val="center"/>
              <w:rPr>
                <w:sz w:val="24"/>
              </w:rPr>
            </w:pPr>
            <w:r>
              <w:rPr>
                <w:rFonts w:hint="eastAsia"/>
                <w:sz w:val="24"/>
              </w:rPr>
              <w:t>快速换样低温光学电学恒温腔</w:t>
            </w:r>
          </w:p>
        </w:tc>
        <w:tc>
          <w:tcPr>
            <w:tcW w:w="1212" w:type="dxa"/>
            <w:shd w:val="clear" w:color="000000" w:fill="FFFFFF"/>
            <w:vAlign w:val="center"/>
          </w:tcPr>
          <w:p>
            <w:pPr>
              <w:widowControl/>
              <w:jc w:val="center"/>
              <w:rPr>
                <w:kern w:val="0"/>
                <w:sz w:val="28"/>
                <w:szCs w:val="20"/>
              </w:rPr>
            </w:pPr>
            <w:r>
              <w:rPr>
                <w:kern w:val="0"/>
                <w:sz w:val="28"/>
                <w:szCs w:val="20"/>
              </w:rPr>
              <w:t>1</w:t>
            </w:r>
          </w:p>
        </w:tc>
        <w:tc>
          <w:tcPr>
            <w:tcW w:w="3746" w:type="dxa"/>
            <w:shd w:val="clear" w:color="000000" w:fill="FFFFFF"/>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1、温控范围： 4.2 K ～ 300K，样品室内置有温度传感器。 温度稳定性：±0.1 K。</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2、能快速换样，换样时间小于5分钟，换样后从室温降到4K时间小于45分钟。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3、换样方式：顶部样品杆插入式换样。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 xml:space="preserve">配置两根样品杆，一根样品杆配有10针电学引线，及接头和插座。一根样品杆配有反射样品架和透射样品架。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4、制冷机冷头功率：0.2W (4.2k下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5、光通路数值孔径达到f/1，收光效率高。28mm有效通光孔径。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6、五窗口设计，配有4个石英光学窗口及盲板。5窗片均为内外双层设计，外窗均可拆卸，窗片直径42mm。内窗均采用阴封技术，保持不漏真空。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7、样品杆可旋转360</w:t>
            </w:r>
            <w:r>
              <w:rPr>
                <w:color w:val="000000"/>
                <w:sz w:val="24"/>
                <w:highlight w:val="none"/>
                <w:vertAlign w:val="superscript"/>
              </w:rPr>
              <w:t>0</w:t>
            </w:r>
            <w:r>
              <w:rPr>
                <w:color w:val="000000"/>
                <w:sz w:val="24"/>
                <w:highlight w:val="none"/>
              </w:rPr>
              <w:t>,可升降+/-6mm</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8、制冷方式：采用闭循环设计，制冷过程中不需要消耗液氦。系统中包含风冷型氦气压缩机。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9、光学腔体在200mm高度范围内上下可调节。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10、配有减震支架，样品中心位置振动幅度&lt;10um。支架可以固定在光学平台或光学平板上（光学平台，光学平板一般为阵列的中心孔距25mm的Ｍ6螺纹孔）</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11、从室温降到4.2K降温时间不超过360分钟。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color w:val="000000"/>
                <w:sz w:val="24"/>
                <w:highlight w:val="none"/>
              </w:rPr>
              <w:t>12、样品空间：直径20mm*高度50mm。</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highlight w:val="none"/>
              </w:rPr>
            </w:pPr>
            <w:r>
              <w:rPr>
                <w:rFonts w:ascii="Segoe UI Symbol" w:hAnsi="Segoe UI Symbol" w:cs="Segoe UI Symbol"/>
                <w:color w:val="000000"/>
                <w:sz w:val="24"/>
                <w:highlight w:val="none"/>
              </w:rPr>
              <w:t>★</w:t>
            </w:r>
            <w:r>
              <w:rPr>
                <w:color w:val="000000"/>
                <w:sz w:val="24"/>
                <w:highlight w:val="none"/>
              </w:rPr>
              <w:t>13、样品环境：交换氦气环境，可做液体及粉末，薄膜等多种样品的低温实验。</w:t>
            </w:r>
          </w:p>
          <w:p>
            <w:pPr>
              <w:spacing w:line="360" w:lineRule="auto"/>
              <w:rPr>
                <w:spacing w:val="24"/>
                <w:sz w:val="28"/>
              </w:rPr>
            </w:pPr>
            <w:r>
              <w:rPr>
                <w:color w:val="000000"/>
                <w:sz w:val="24"/>
                <w:highlight w:val="none"/>
              </w:rPr>
              <w:t>14、温度控制器需要与低温恒温器保持同一生产厂家生产。温度控制支持Labvi</w:t>
            </w:r>
            <w:r>
              <w:rPr>
                <w:rFonts w:hint="eastAsia"/>
                <w:color w:val="000000"/>
                <w:sz w:val="24"/>
                <w:highlight w:val="none"/>
              </w:rPr>
              <w:t>e</w:t>
            </w:r>
            <w:r>
              <w:rPr>
                <w:color w:val="000000"/>
                <w:sz w:val="24"/>
                <w:highlight w:val="none"/>
              </w:rPr>
              <w:t>w, C语言编程控制及二次开发。温度控制器配有液晶控制面板，不连接电脑也可控制低温恒温器。</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1"/>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w:t>
      </w:r>
      <w:r>
        <w:rPr>
          <w:rFonts w:hint="eastAsia" w:ascii="Arial" w:hAnsi="宋体" w:cs="Arial"/>
          <w:sz w:val="24"/>
          <w:szCs w:val="21"/>
          <w:highlight w:val="none"/>
        </w:rPr>
        <w:t>至少一年</w:t>
      </w:r>
      <w:r>
        <w:rPr>
          <w:rFonts w:hint="eastAsia" w:ascii="Arial" w:hAnsi="宋体" w:cs="Arial"/>
          <w:sz w:val="24"/>
          <w:szCs w:val="21"/>
        </w:rPr>
        <w:t>（招标参数中有明确保修年限要求的按具体要求保修）。保修期自用户验收小组验收合格交付使用之日算起。</w:t>
      </w:r>
      <w:bookmarkStart w:id="13" w:name="_GoBack"/>
      <w:bookmarkEnd w:id="13"/>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323741898"/>
      <w:bookmarkStart w:id="2" w:name="_Toc184176484"/>
      <w:bookmarkStart w:id="3" w:name="_Toc256416592"/>
      <w:bookmarkStart w:id="4" w:name="_Toc238290496"/>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5" w:name="_Toc415124198"/>
            <w:bookmarkStart w:id="6" w:name="_Toc418491550"/>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4"/>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widowControl/>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5CE4"/>
    <w:rsid w:val="001B3020"/>
    <w:rsid w:val="001F0072"/>
    <w:rsid w:val="001F4078"/>
    <w:rsid w:val="001F41D1"/>
    <w:rsid w:val="002024AD"/>
    <w:rsid w:val="00205C91"/>
    <w:rsid w:val="00221BBE"/>
    <w:rsid w:val="002577C3"/>
    <w:rsid w:val="00271E4F"/>
    <w:rsid w:val="002D63AE"/>
    <w:rsid w:val="00357598"/>
    <w:rsid w:val="00363E7F"/>
    <w:rsid w:val="003952B5"/>
    <w:rsid w:val="003A7214"/>
    <w:rsid w:val="003B5EF3"/>
    <w:rsid w:val="003D0806"/>
    <w:rsid w:val="003E17BF"/>
    <w:rsid w:val="00404174"/>
    <w:rsid w:val="004443A9"/>
    <w:rsid w:val="00454B35"/>
    <w:rsid w:val="00466E9E"/>
    <w:rsid w:val="0049546C"/>
    <w:rsid w:val="004F204B"/>
    <w:rsid w:val="004F2137"/>
    <w:rsid w:val="004F4FE3"/>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935E5"/>
    <w:rsid w:val="006B03C3"/>
    <w:rsid w:val="006C7A9B"/>
    <w:rsid w:val="006D1705"/>
    <w:rsid w:val="006F1BDE"/>
    <w:rsid w:val="007239BC"/>
    <w:rsid w:val="00724054"/>
    <w:rsid w:val="007461A8"/>
    <w:rsid w:val="00756C6B"/>
    <w:rsid w:val="00773419"/>
    <w:rsid w:val="00786041"/>
    <w:rsid w:val="007B6902"/>
    <w:rsid w:val="0083518E"/>
    <w:rsid w:val="008B7766"/>
    <w:rsid w:val="008C0304"/>
    <w:rsid w:val="008D56C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E4315"/>
    <w:rsid w:val="00C21064"/>
    <w:rsid w:val="00C3212D"/>
    <w:rsid w:val="00C37374"/>
    <w:rsid w:val="00C574EF"/>
    <w:rsid w:val="00C57FE6"/>
    <w:rsid w:val="00CF7445"/>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53F4078"/>
    <w:rsid w:val="19DC45B9"/>
    <w:rsid w:val="1AB4167B"/>
    <w:rsid w:val="1BA33F18"/>
    <w:rsid w:val="1CD91C97"/>
    <w:rsid w:val="1FC856F7"/>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41473E3"/>
    <w:rsid w:val="483B62A9"/>
    <w:rsid w:val="4A8D603B"/>
    <w:rsid w:val="4B6B5642"/>
    <w:rsid w:val="4F4B7F6C"/>
    <w:rsid w:val="50275A13"/>
    <w:rsid w:val="5152568B"/>
    <w:rsid w:val="536B6672"/>
    <w:rsid w:val="554C18B3"/>
    <w:rsid w:val="571031C9"/>
    <w:rsid w:val="57392AF0"/>
    <w:rsid w:val="578B162C"/>
    <w:rsid w:val="5A6F4ABB"/>
    <w:rsid w:val="5C0A558A"/>
    <w:rsid w:val="5C113B6C"/>
    <w:rsid w:val="5DD01792"/>
    <w:rsid w:val="61264F5A"/>
    <w:rsid w:val="62170FA9"/>
    <w:rsid w:val="6366494C"/>
    <w:rsid w:val="65665DBA"/>
    <w:rsid w:val="65B91FD2"/>
    <w:rsid w:val="66DC32E6"/>
    <w:rsid w:val="67590123"/>
    <w:rsid w:val="699924A6"/>
    <w:rsid w:val="6A6A1446"/>
    <w:rsid w:val="6ACC0F78"/>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5"/>
    <w:qFormat/>
    <w:uiPriority w:val="0"/>
    <w:rPr>
      <w:rFonts w:ascii="宋体" w:hAnsi="Courier New" w:cs="Courier New"/>
      <w:szCs w:val="21"/>
    </w:rPr>
  </w:style>
  <w:style w:type="paragraph" w:styleId="6">
    <w:name w:val="Body Text Indent 2"/>
    <w:basedOn w:val="1"/>
    <w:link w:val="16"/>
    <w:unhideWhenUsed/>
    <w:qFormat/>
    <w:uiPriority w:val="0"/>
    <w:pPr>
      <w:spacing w:after="120" w:line="480" w:lineRule="auto"/>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styleId="13">
    <w:name w:val="Hyperlink"/>
    <w:basedOn w:val="12"/>
    <w:semiHidden/>
    <w:unhideWhenUsed/>
    <w:qFormat/>
    <w:uiPriority w:val="99"/>
    <w:rPr>
      <w:color w:val="0000FF"/>
      <w:u w:val="single"/>
    </w:rPr>
  </w:style>
  <w:style w:type="character" w:customStyle="1" w:styleId="14">
    <w:name w:val="标题 1 字符"/>
    <w:basedOn w:val="12"/>
    <w:link w:val="2"/>
    <w:qFormat/>
    <w:uiPriority w:val="99"/>
    <w:rPr>
      <w:rFonts w:ascii="宋体" w:hAnsi="Times New Roman" w:eastAsia="宋体" w:cs="Times New Roman"/>
      <w:b/>
      <w:kern w:val="44"/>
      <w:sz w:val="32"/>
      <w:szCs w:val="20"/>
    </w:rPr>
  </w:style>
  <w:style w:type="character" w:customStyle="1" w:styleId="15">
    <w:name w:val="纯文本 字符"/>
    <w:basedOn w:val="12"/>
    <w:link w:val="5"/>
    <w:qFormat/>
    <w:uiPriority w:val="0"/>
    <w:rPr>
      <w:rFonts w:ascii="宋体" w:hAnsi="Courier New" w:eastAsia="宋体" w:cs="Courier New"/>
      <w:szCs w:val="21"/>
    </w:rPr>
  </w:style>
  <w:style w:type="character" w:customStyle="1" w:styleId="16">
    <w:name w:val="正文文本缩进 2 字符"/>
    <w:basedOn w:val="12"/>
    <w:link w:val="6"/>
    <w:qFormat/>
    <w:uiPriority w:val="0"/>
    <w:rPr>
      <w:rFonts w:ascii="Times New Roman" w:hAnsi="Times New Roman" w:eastAsia="宋体" w:cs="Times New Roman"/>
      <w:szCs w:val="24"/>
    </w:rPr>
  </w:style>
  <w:style w:type="character" w:customStyle="1" w:styleId="17">
    <w:name w:val="页脚 字符"/>
    <w:basedOn w:val="12"/>
    <w:link w:val="8"/>
    <w:qFormat/>
    <w:uiPriority w:val="99"/>
    <w:rPr>
      <w:rFonts w:ascii="Times New Roman" w:hAnsi="Times New Roman" w:eastAsia="宋体" w:cs="Times New Roman"/>
      <w:sz w:val="18"/>
      <w:szCs w:val="18"/>
    </w:rPr>
  </w:style>
  <w:style w:type="character" w:customStyle="1" w:styleId="18">
    <w:name w:val="页眉 字符"/>
    <w:basedOn w:val="12"/>
    <w:link w:val="9"/>
    <w:qFormat/>
    <w:uiPriority w:val="99"/>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2"/>
    <w:link w:val="7"/>
    <w:semiHidden/>
    <w:qFormat/>
    <w:uiPriority w:val="99"/>
    <w:rPr>
      <w:rFonts w:ascii="Times New Roman" w:hAnsi="Times New Roman" w:eastAsia="宋体" w:cs="Times New Roman"/>
      <w:sz w:val="18"/>
      <w:szCs w:val="18"/>
    </w:rPr>
  </w:style>
  <w:style w:type="paragraph" w:customStyle="1" w:styleId="24">
    <w:name w:val="样式3"/>
    <w:basedOn w:val="5"/>
    <w:qFormat/>
    <w:uiPriority w:val="0"/>
    <w:pPr>
      <w:spacing w:line="0" w:lineRule="atLeast"/>
      <w:outlineLvl w:val="0"/>
    </w:pPr>
    <w:rPr>
      <w:rFonts w:cs="Times New Roman"/>
      <w:sz w:val="28"/>
      <w:szCs w:val="24"/>
    </w:rPr>
  </w:style>
  <w:style w:type="character" w:styleId="25">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0E4B1-ACD7-41B1-8C3F-BB95984EF855}">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26</Pages>
  <Words>2074</Words>
  <Characters>11824</Characters>
  <Lines>98</Lines>
  <Paragraphs>27</Paragraphs>
  <TotalTime>77</TotalTime>
  <ScaleCrop>false</ScaleCrop>
  <LinksUpToDate>false</LinksUpToDate>
  <CharactersWithSpaces>13871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旧猫</cp:lastModifiedBy>
  <dcterms:modified xsi:type="dcterms:W3CDTF">2021-06-08T08:24:31Z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