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ind w:firstLine="3253" w:firstLineChars="900"/>
        <w:rPr>
          <w:rFonts w:hint="eastAsia" w:ascii="宋体" w:hAnsi="宋体"/>
          <w:b/>
          <w:bCs/>
          <w:sz w:val="36"/>
          <w:szCs w:val="28"/>
        </w:rPr>
      </w:pPr>
    </w:p>
    <w:p>
      <w:pPr>
        <w:ind w:firstLine="3614" w:firstLineChars="1000"/>
        <w:rPr>
          <w:rFonts w:hint="eastAsia" w:ascii="宋体" w:hAnsi="宋体"/>
          <w:b/>
          <w:bCs/>
          <w:sz w:val="36"/>
          <w:szCs w:val="28"/>
        </w:rPr>
      </w:pPr>
      <w:r>
        <w:rPr>
          <w:rFonts w:hint="eastAsia" w:ascii="宋体" w:hAnsi="宋体"/>
          <w:b/>
          <w:bCs/>
          <w:sz w:val="36"/>
          <w:szCs w:val="28"/>
        </w:rPr>
        <w:t>纯化器</w:t>
      </w:r>
    </w:p>
    <w:p>
      <w:pPr>
        <w:ind w:firstLine="3253" w:firstLineChars="900"/>
        <w:rPr>
          <w:rFonts w:hint="eastAsia"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JGYQ-2021TP-021</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1年4月</w:t>
      </w:r>
      <w:r>
        <w:rPr>
          <w:rFonts w:hint="eastAsia" w:ascii="宋体" w:hAnsi="宋体"/>
          <w:b/>
          <w:bCs/>
          <w:sz w:val="28"/>
          <w:szCs w:val="28"/>
          <w:lang w:val="en-US" w:eastAsia="zh-CN"/>
        </w:rPr>
        <w:t>8</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纯化器</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采购编号：JGYQ-2021TP-021</w:t>
      </w:r>
    </w:p>
    <w:p>
      <w:pPr>
        <w:numPr>
          <w:ilvl w:val="0"/>
          <w:numId w:val="2"/>
        </w:numPr>
        <w:spacing w:line="360" w:lineRule="auto"/>
        <w:rPr>
          <w:rFonts w:ascii="宋体"/>
          <w:sz w:val="28"/>
          <w:szCs w:val="28"/>
        </w:rPr>
      </w:pPr>
      <w:r>
        <w:rPr>
          <w:rFonts w:hint="eastAsia" w:ascii="宋体" w:hAnsi="宋体"/>
          <w:sz w:val="28"/>
          <w:szCs w:val="28"/>
        </w:rPr>
        <w:t>采购项目：纯化器</w:t>
      </w:r>
    </w:p>
    <w:p>
      <w:pPr>
        <w:numPr>
          <w:ilvl w:val="0"/>
          <w:numId w:val="2"/>
        </w:numPr>
        <w:spacing w:line="360" w:lineRule="auto"/>
        <w:rPr>
          <w:rFonts w:ascii="宋体"/>
          <w:sz w:val="28"/>
          <w:szCs w:val="28"/>
        </w:rPr>
      </w:pPr>
      <w:r>
        <w:rPr>
          <w:rFonts w:hint="eastAsia" w:ascii="宋体" w:hAnsi="宋体"/>
          <w:sz w:val="28"/>
          <w:szCs w:val="28"/>
        </w:rPr>
        <w:t>采购预算：本项目预算人民币723000元（最高控制价，人民币包干或需预留空间予用户支付报关报检及外贸代理等相关费用）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hint="eastAsia" w:ascii="宋体" w:hAnsi="宋体"/>
          <w:sz w:val="28"/>
          <w:szCs w:val="28"/>
        </w:rPr>
      </w:pPr>
      <w:r>
        <w:rPr>
          <w:rFonts w:hint="eastAsia" w:ascii="宋体" w:hAnsi="宋体"/>
          <w:sz w:val="28"/>
          <w:szCs w:val="28"/>
        </w:rPr>
        <w:t>报价截止和磋商时间：2021年4月</w:t>
      </w:r>
      <w:r>
        <w:rPr>
          <w:rFonts w:hint="eastAsia" w:ascii="宋体" w:hAnsi="宋体"/>
          <w:sz w:val="28"/>
          <w:szCs w:val="28"/>
          <w:lang w:val="en-US" w:eastAsia="zh-CN"/>
        </w:rPr>
        <w:t>16</w:t>
      </w:r>
      <w:r>
        <w:rPr>
          <w:rFonts w:hint="eastAsia" w:ascii="宋体" w:hAnsi="宋体"/>
          <w:sz w:val="28"/>
          <w:szCs w:val="28"/>
        </w:rPr>
        <w:t>日上午9：</w:t>
      </w:r>
      <w:r>
        <w:rPr>
          <w:rFonts w:hint="eastAsia" w:ascii="宋体" w:hAnsi="宋体"/>
          <w:sz w:val="28"/>
          <w:szCs w:val="28"/>
          <w:lang w:val="en-US" w:eastAsia="zh-CN"/>
        </w:rPr>
        <w:t>00</w:t>
      </w:r>
    </w:p>
    <w:p>
      <w:pPr>
        <w:numPr>
          <w:ilvl w:val="0"/>
          <w:numId w:val="2"/>
        </w:numPr>
        <w:spacing w:after="100" w:afterAutospacing="1" w:line="360" w:lineRule="auto"/>
        <w:rPr>
          <w:rFonts w:hint="eastAsia" w:ascii="宋体" w:hAnsi="宋体"/>
          <w:sz w:val="28"/>
          <w:szCs w:val="28"/>
        </w:rPr>
      </w:pPr>
      <w:r>
        <w:rPr>
          <w:rFonts w:hint="eastAsia" w:ascii="宋体" w:hAnsi="宋体"/>
          <w:sz w:val="28"/>
          <w:szCs w:val="28"/>
        </w:rPr>
        <w:t>报名及磋商文件发售截至时间：报价人必须在2021年4月</w:t>
      </w:r>
      <w:r>
        <w:rPr>
          <w:rFonts w:hint="eastAsia" w:ascii="宋体" w:hAnsi="宋体"/>
          <w:sz w:val="28"/>
          <w:szCs w:val="28"/>
          <w:lang w:val="en-US" w:eastAsia="zh-CN"/>
        </w:rPr>
        <w:t>15</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hint="eastAsia" w:ascii="宋体" w:hAnsi="宋体"/>
          <w:sz w:val="28"/>
          <w:szCs w:val="28"/>
        </w:rPr>
      </w:pPr>
      <w:r>
        <w:rPr>
          <w:rFonts w:hint="eastAsia" w:ascii="宋体" w:hAnsi="宋体"/>
          <w:sz w:val="28"/>
          <w:szCs w:val="28"/>
        </w:rPr>
        <w:t>开标地点：厦门市思明南路422号厦门大学颂恩楼</w:t>
      </w:r>
      <w:r>
        <w:rPr>
          <w:rFonts w:hint="eastAsia" w:ascii="宋体" w:hAnsi="宋体"/>
          <w:sz w:val="28"/>
          <w:szCs w:val="28"/>
          <w:lang w:val="en-US" w:eastAsia="zh-CN"/>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技术需求方面请联系用户单位：陈老师 </w:t>
      </w:r>
      <w:r>
        <w:rPr>
          <w:rFonts w:hint="eastAsia" w:ascii="宋体" w:hAnsi="宋体" w:eastAsia="宋体" w:cs="宋体"/>
          <w:i w:val="0"/>
          <w:iCs w:val="0"/>
          <w:caps w:val="0"/>
          <w:color w:val="000000"/>
          <w:spacing w:val="0"/>
          <w:sz w:val="28"/>
          <w:szCs w:val="28"/>
        </w:rPr>
        <w:t>0592-2187737</w:t>
      </w:r>
      <w:bookmarkStart w:id="13" w:name="_GoBack"/>
      <w:bookmarkEnd w:id="13"/>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0592-2882502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1年4月</w:t>
      </w:r>
      <w:r>
        <w:rPr>
          <w:rFonts w:hint="eastAsia" w:ascii="宋体" w:hAnsi="宋体"/>
          <w:sz w:val="28"/>
          <w:szCs w:val="28"/>
          <w:lang w:val="en-US" w:eastAsia="zh-CN"/>
        </w:rPr>
        <w:t>8</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93"/>
        <w:gridCol w:w="1560"/>
        <w:gridCol w:w="1984"/>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693"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56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1984" w:type="dxa"/>
            <w:shd w:val="clear" w:color="000000" w:fill="FFFFFF"/>
            <w:vAlign w:val="center"/>
          </w:tcPr>
          <w:p>
            <w:pPr>
              <w:widowControl/>
              <w:jc w:val="center"/>
              <w:rPr>
                <w:rFonts w:ascii="宋体" w:hAnsi="宋体"/>
                <w:kern w:val="0"/>
                <w:sz w:val="24"/>
              </w:rPr>
            </w:pPr>
            <w:r>
              <w:rPr>
                <w:rFonts w:hint="eastAsia" w:ascii="宋体" w:hAnsi="宋体"/>
                <w:kern w:val="0"/>
                <w:sz w:val="24"/>
              </w:rPr>
              <w:t>预算</w:t>
            </w:r>
          </w:p>
        </w:tc>
        <w:tc>
          <w:tcPr>
            <w:tcW w:w="2608"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2693" w:type="dxa"/>
            <w:shd w:val="clear" w:color="000000" w:fill="FFFFFF"/>
            <w:vAlign w:val="center"/>
          </w:tcPr>
          <w:p>
            <w:pPr>
              <w:widowControl/>
              <w:jc w:val="center"/>
              <w:rPr>
                <w:sz w:val="24"/>
              </w:rPr>
            </w:pPr>
            <w:r>
              <w:rPr>
                <w:rFonts w:hint="eastAsia"/>
                <w:sz w:val="24"/>
              </w:rPr>
              <w:t>氢气纯化器</w:t>
            </w:r>
          </w:p>
        </w:tc>
        <w:tc>
          <w:tcPr>
            <w:tcW w:w="1560" w:type="dxa"/>
            <w:shd w:val="clear" w:color="000000" w:fill="FFFFFF"/>
            <w:vAlign w:val="center"/>
          </w:tcPr>
          <w:p>
            <w:pPr>
              <w:widowControl/>
              <w:jc w:val="center"/>
              <w:rPr>
                <w:kern w:val="0"/>
                <w:sz w:val="28"/>
                <w:szCs w:val="20"/>
              </w:rPr>
            </w:pPr>
            <w:r>
              <w:rPr>
                <w:kern w:val="0"/>
                <w:sz w:val="28"/>
                <w:szCs w:val="20"/>
              </w:rPr>
              <w:t>1</w:t>
            </w:r>
          </w:p>
        </w:tc>
        <w:tc>
          <w:tcPr>
            <w:tcW w:w="1984" w:type="dxa"/>
            <w:shd w:val="clear" w:color="000000" w:fill="FFFFFF"/>
            <w:vAlign w:val="center"/>
          </w:tcPr>
          <w:p>
            <w:pPr>
              <w:jc w:val="center"/>
              <w:rPr>
                <w:spacing w:val="24"/>
                <w:sz w:val="28"/>
              </w:rPr>
            </w:pPr>
            <w:r>
              <w:rPr>
                <w:rFonts w:hint="eastAsia"/>
                <w:spacing w:val="24"/>
                <w:sz w:val="28"/>
              </w:rPr>
              <w:t>35</w:t>
            </w:r>
            <w:r>
              <w:rPr>
                <w:spacing w:val="24"/>
                <w:sz w:val="28"/>
              </w:rPr>
              <w:t>5</w:t>
            </w:r>
            <w:r>
              <w:rPr>
                <w:rFonts w:hint="eastAsia"/>
                <w:spacing w:val="24"/>
                <w:sz w:val="28"/>
              </w:rPr>
              <w:t>000</w:t>
            </w:r>
            <w:r>
              <w:rPr>
                <w:spacing w:val="24"/>
                <w:sz w:val="28"/>
              </w:rPr>
              <w:t>元</w:t>
            </w:r>
          </w:p>
        </w:tc>
        <w:tc>
          <w:tcPr>
            <w:tcW w:w="2608" w:type="dxa"/>
            <w:shd w:val="clear" w:color="000000" w:fill="FFFFFF"/>
            <w:vAlign w:val="center"/>
          </w:tcPr>
          <w:p>
            <w:pPr>
              <w:jc w:val="center"/>
              <w:rPr>
                <w:spacing w:val="24"/>
                <w:sz w:val="28"/>
              </w:rPr>
            </w:pPr>
            <w:r>
              <w:rPr>
                <w:spacing w:val="24"/>
                <w:sz w:val="28"/>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r>
              <w:rPr>
                <w:color w:val="000000"/>
                <w:kern w:val="0"/>
                <w:sz w:val="20"/>
                <w:szCs w:val="20"/>
              </w:rPr>
              <w:t>2</w:t>
            </w:r>
          </w:p>
        </w:tc>
        <w:tc>
          <w:tcPr>
            <w:tcW w:w="2693" w:type="dxa"/>
            <w:shd w:val="clear" w:color="000000" w:fill="FFFFFF"/>
            <w:vAlign w:val="center"/>
          </w:tcPr>
          <w:p>
            <w:pPr>
              <w:widowControl/>
              <w:jc w:val="center"/>
              <w:rPr>
                <w:sz w:val="24"/>
              </w:rPr>
            </w:pPr>
            <w:r>
              <w:rPr>
                <w:rFonts w:hint="eastAsia"/>
                <w:sz w:val="24"/>
              </w:rPr>
              <w:t>氩气纯化器</w:t>
            </w:r>
          </w:p>
        </w:tc>
        <w:tc>
          <w:tcPr>
            <w:tcW w:w="1560" w:type="dxa"/>
            <w:shd w:val="clear" w:color="000000" w:fill="FFFFFF"/>
            <w:vAlign w:val="center"/>
          </w:tcPr>
          <w:p>
            <w:pPr>
              <w:widowControl/>
              <w:jc w:val="center"/>
              <w:rPr>
                <w:kern w:val="0"/>
                <w:sz w:val="28"/>
                <w:szCs w:val="20"/>
              </w:rPr>
            </w:pPr>
            <w:r>
              <w:rPr>
                <w:kern w:val="0"/>
                <w:sz w:val="28"/>
                <w:szCs w:val="20"/>
              </w:rPr>
              <w:t>1</w:t>
            </w:r>
          </w:p>
        </w:tc>
        <w:tc>
          <w:tcPr>
            <w:tcW w:w="1984" w:type="dxa"/>
            <w:shd w:val="clear" w:color="000000" w:fill="FFFFFF"/>
            <w:vAlign w:val="center"/>
          </w:tcPr>
          <w:p>
            <w:pPr>
              <w:jc w:val="center"/>
              <w:rPr>
                <w:spacing w:val="24"/>
                <w:sz w:val="28"/>
              </w:rPr>
            </w:pPr>
            <w:r>
              <w:rPr>
                <w:spacing w:val="24"/>
                <w:sz w:val="28"/>
              </w:rPr>
              <w:t>368</w:t>
            </w:r>
            <w:r>
              <w:rPr>
                <w:rFonts w:hint="eastAsia"/>
                <w:spacing w:val="24"/>
                <w:sz w:val="28"/>
              </w:rPr>
              <w:t>000</w:t>
            </w:r>
            <w:r>
              <w:rPr>
                <w:spacing w:val="24"/>
                <w:sz w:val="28"/>
              </w:rPr>
              <w:t>元</w:t>
            </w:r>
          </w:p>
        </w:tc>
        <w:tc>
          <w:tcPr>
            <w:tcW w:w="2608" w:type="dxa"/>
            <w:shd w:val="clear" w:color="000000" w:fill="FFFFFF"/>
            <w:vAlign w:val="center"/>
          </w:tcPr>
          <w:p>
            <w:pPr>
              <w:jc w:val="center"/>
              <w:rPr>
                <w:spacing w:val="24"/>
                <w:sz w:val="28"/>
              </w:rPr>
            </w:pPr>
            <w:r>
              <w:rPr>
                <w:spacing w:val="24"/>
                <w:sz w:val="28"/>
              </w:rPr>
              <w:t>详见附件2</w:t>
            </w: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w:t>
      </w:r>
      <w:r>
        <w:rPr>
          <w:rFonts w:hint="eastAsia"/>
          <w:color w:val="000000"/>
          <w:sz w:val="24"/>
          <w:highlight w:val="none"/>
        </w:rPr>
        <w:t>两年</w:t>
      </w:r>
      <w:r>
        <w:rPr>
          <w:rFonts w:hint="eastAsia"/>
          <w:color w:val="000000"/>
          <w:sz w:val="24"/>
        </w:rPr>
        <w:t>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两年（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184550797"/>
      <w:bookmarkStart w:id="2" w:name="_Toc256416592"/>
      <w:bookmarkStart w:id="3" w:name="_Toc184176484"/>
      <w:bookmarkStart w:id="4" w:name="_Toc238290496"/>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5124366"/>
            <w:bookmarkStart w:id="6" w:name="_Toc433037128"/>
            <w:bookmarkStart w:id="7" w:name="_Toc415124198"/>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5124367"/>
            <w:bookmarkStart w:id="10" w:name="_Toc415124199"/>
            <w:bookmarkStart w:id="11" w:name="_Toc433037129"/>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rFonts w:hint="eastAsia"/>
          <w:bCs/>
          <w:sz w:val="28"/>
        </w:rPr>
      </w:pPr>
      <w:r>
        <w:rPr>
          <w:rFonts w:hint="eastAsia"/>
          <w:bCs/>
          <w:sz w:val="28"/>
        </w:rPr>
        <w:t>格式10  合同模板</w:t>
      </w:r>
    </w:p>
    <w:p>
      <w:pPr>
        <w:widowControl w:val="0"/>
        <w:adjustRightInd/>
        <w:snapToGrid/>
        <w:spacing w:after="0"/>
        <w:ind w:right="-512" w:rightChars="-244"/>
        <w:jc w:val="center"/>
        <w:rPr>
          <w:rFonts w:ascii="Times New Roman" w:hAnsi="Times New Roman" w:eastAsia="宋体"/>
          <w:b/>
          <w:bCs/>
          <w:kern w:val="2"/>
          <w:sz w:val="44"/>
          <w:szCs w:val="44"/>
        </w:rPr>
      </w:pPr>
      <w:r>
        <w:rPr>
          <w:rFonts w:ascii="Times New Roman" w:hAnsi="Times New Roman" w:eastAsia="宋体"/>
          <w:b/>
          <w:bCs/>
          <w:kern w:val="2"/>
          <w:sz w:val="44"/>
          <w:szCs w:val="44"/>
        </w:rPr>
        <w:t>合  同  书</w:t>
      </w:r>
    </w:p>
    <w:p>
      <w:pPr>
        <w:spacing w:line="400" w:lineRule="exact"/>
        <w:ind w:left="-357" w:leftChars="-256" w:hanging="181"/>
        <w:rPr>
          <w:rFonts w:ascii="Times New Roman" w:hAnsi="Times New Roman" w:eastAsia="宋体"/>
          <w:b/>
          <w:bCs/>
          <w:sz w:val="24"/>
        </w:rPr>
      </w:pPr>
      <w:r>
        <w:rPr>
          <w:rFonts w:ascii="Times New Roman" w:hAnsi="Times New Roman" w:eastAsia="宋体"/>
          <w:b/>
          <w:bCs/>
          <w:sz w:val="24"/>
        </w:rPr>
        <w:t xml:space="preserve">本合同项目名称：            </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甲方（需方）： 嘉庚创新实验室</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使用单位：</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 xml:space="preserve">乙方（供方）：   </w:t>
      </w:r>
    </w:p>
    <w:p>
      <w:pPr>
        <w:spacing w:line="400" w:lineRule="exact"/>
        <w:ind w:left="-328" w:leftChars="-156" w:firstLine="240" w:firstLineChars="100"/>
        <w:rPr>
          <w:rFonts w:ascii="Times New Roman" w:hAnsi="Times New Roman" w:eastAsia="宋体"/>
          <w:bCs/>
          <w:sz w:val="24"/>
        </w:rPr>
      </w:pPr>
      <w:r>
        <w:rPr>
          <w:rFonts w:ascii="Times New Roman" w:hAnsi="Times New Roman" w:eastAsia="宋体"/>
          <w:bCs/>
          <w:sz w:val="24"/>
          <w:u w:val="single"/>
        </w:rPr>
        <w:t>嘉庚创新实验室</w:t>
      </w:r>
      <w:r>
        <w:rPr>
          <w:rFonts w:ascii="Times New Roman" w:hAnsi="Times New Roman" w:eastAsia="宋体"/>
          <w:bCs/>
          <w:sz w:val="24"/>
        </w:rPr>
        <w:t>向</w:t>
      </w:r>
      <w:r>
        <w:rPr>
          <w:rFonts w:ascii="Times New Roman" w:hAnsi="Times New Roman" w:eastAsia="宋体"/>
          <w:bCs/>
          <w:sz w:val="24"/>
          <w:u w:val="single"/>
        </w:rPr>
        <w:t xml:space="preserve">             </w:t>
      </w:r>
      <w:r>
        <w:rPr>
          <w:rFonts w:ascii="Times New Roman" w:hAnsi="Times New Roman" w:eastAsia="宋体"/>
          <w:bCs/>
          <w:sz w:val="24"/>
        </w:rPr>
        <w:t>购买</w:t>
      </w:r>
      <w:r>
        <w:rPr>
          <w:rFonts w:ascii="Times New Roman" w:hAnsi="Times New Roman" w:eastAsia="宋体"/>
          <w:bCs/>
          <w:sz w:val="24"/>
          <w:u w:val="single"/>
        </w:rPr>
        <w:t xml:space="preserve">          </w:t>
      </w:r>
      <w:r>
        <w:rPr>
          <w:rFonts w:ascii="Times New Roman" w:hAnsi="Times New Roman" w:eastAsia="宋体"/>
          <w:bCs/>
          <w:sz w:val="24"/>
        </w:rPr>
        <w:t>。经双方协商，达成以下协议条款：</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一、项目内容（或项目内容详见合同清单附件）</w:t>
      </w:r>
    </w:p>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1．甲方购买乙方货物壹批，清单如下。</w:t>
      </w:r>
    </w:p>
    <w:tbl>
      <w:tblPr>
        <w:tblStyle w:val="11"/>
        <w:tblW w:w="9496"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281"/>
        <w:gridCol w:w="854"/>
        <w:gridCol w:w="1253"/>
        <w:gridCol w:w="2849"/>
        <w:gridCol w:w="2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序号</w:t>
            </w:r>
          </w:p>
        </w:tc>
        <w:tc>
          <w:tcPr>
            <w:tcW w:w="1281"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名称</w:t>
            </w:r>
          </w:p>
        </w:tc>
        <w:tc>
          <w:tcPr>
            <w:tcW w:w="8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数量</w:t>
            </w:r>
          </w:p>
        </w:tc>
        <w:tc>
          <w:tcPr>
            <w:tcW w:w="1253"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单价</w:t>
            </w:r>
          </w:p>
        </w:tc>
        <w:tc>
          <w:tcPr>
            <w:tcW w:w="2849" w:type="dxa"/>
            <w:tcBorders>
              <w:right w:val="single" w:color="auto" w:sz="4" w:space="0"/>
            </w:tcBorders>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规格型号/产品参数</w:t>
            </w:r>
          </w:p>
        </w:tc>
        <w:tc>
          <w:tcPr>
            <w:tcW w:w="2505" w:type="dxa"/>
            <w:tcBorders>
              <w:left w:val="single" w:color="auto" w:sz="4" w:space="0"/>
            </w:tcBorders>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备注（或图片）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1</w:t>
            </w:r>
          </w:p>
        </w:tc>
        <w:tc>
          <w:tcPr>
            <w:tcW w:w="1281" w:type="dxa"/>
            <w:noWrap w:val="0"/>
            <w:vAlign w:val="top"/>
          </w:tcPr>
          <w:p>
            <w:pPr>
              <w:spacing w:line="460" w:lineRule="exact"/>
              <w:rPr>
                <w:rFonts w:ascii="Times New Roman" w:hAnsi="Times New Roman" w:eastAsia="宋体"/>
                <w:bCs/>
                <w:sz w:val="24"/>
              </w:rPr>
            </w:pPr>
          </w:p>
          <w:p>
            <w:pPr>
              <w:spacing w:line="460" w:lineRule="exact"/>
              <w:rPr>
                <w:rFonts w:ascii="Times New Roman" w:hAnsi="Times New Roman" w:eastAsia="宋体"/>
                <w:bCs/>
                <w:sz w:val="24"/>
              </w:rPr>
            </w:pPr>
          </w:p>
        </w:tc>
        <w:tc>
          <w:tcPr>
            <w:tcW w:w="854" w:type="dxa"/>
            <w:noWrap w:val="0"/>
            <w:vAlign w:val="top"/>
          </w:tcPr>
          <w:p>
            <w:pPr>
              <w:spacing w:line="460" w:lineRule="exact"/>
              <w:rPr>
                <w:rFonts w:ascii="Times New Roman" w:hAnsi="Times New Roman" w:eastAsia="宋体"/>
                <w:bCs/>
                <w:sz w:val="24"/>
              </w:rPr>
            </w:pPr>
          </w:p>
        </w:tc>
        <w:tc>
          <w:tcPr>
            <w:tcW w:w="1253" w:type="dxa"/>
            <w:noWrap w:val="0"/>
            <w:vAlign w:val="top"/>
          </w:tcPr>
          <w:p>
            <w:pPr>
              <w:spacing w:line="460" w:lineRule="exact"/>
              <w:rPr>
                <w:rFonts w:ascii="Times New Roman" w:hAnsi="Times New Roman" w:eastAsia="宋体"/>
                <w:bCs/>
                <w:sz w:val="24"/>
              </w:rPr>
            </w:pPr>
          </w:p>
        </w:tc>
        <w:tc>
          <w:tcPr>
            <w:tcW w:w="2849" w:type="dxa"/>
            <w:tcBorders>
              <w:right w:val="single" w:color="auto" w:sz="4" w:space="0"/>
            </w:tcBorders>
            <w:noWrap w:val="0"/>
            <w:vAlign w:val="top"/>
          </w:tcPr>
          <w:p>
            <w:pPr>
              <w:spacing w:line="460" w:lineRule="exact"/>
              <w:rPr>
                <w:rFonts w:ascii="Times New Roman" w:hAnsi="Times New Roman" w:eastAsia="宋体"/>
                <w:bCs/>
                <w:sz w:val="24"/>
              </w:rPr>
            </w:pPr>
          </w:p>
        </w:tc>
        <w:tc>
          <w:tcPr>
            <w:tcW w:w="2505" w:type="dxa"/>
            <w:tcBorders>
              <w:left w:val="single" w:color="auto" w:sz="4" w:space="0"/>
            </w:tcBorders>
            <w:noWrap w:val="0"/>
            <w:vAlign w:val="top"/>
          </w:tcPr>
          <w:p>
            <w:pPr>
              <w:spacing w:line="460" w:lineRule="exact"/>
              <w:rPr>
                <w:rFonts w:ascii="Times New Roman" w:hAnsi="Times New Roman"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2</w:t>
            </w:r>
          </w:p>
        </w:tc>
        <w:tc>
          <w:tcPr>
            <w:tcW w:w="1281" w:type="dxa"/>
            <w:noWrap w:val="0"/>
            <w:vAlign w:val="top"/>
          </w:tcPr>
          <w:p>
            <w:pPr>
              <w:spacing w:line="460" w:lineRule="exact"/>
              <w:rPr>
                <w:rFonts w:ascii="Times New Roman" w:hAnsi="Times New Roman" w:eastAsia="宋体"/>
                <w:bCs/>
                <w:sz w:val="24"/>
              </w:rPr>
            </w:pPr>
          </w:p>
          <w:p>
            <w:pPr>
              <w:spacing w:line="460" w:lineRule="exact"/>
              <w:rPr>
                <w:rFonts w:ascii="Times New Roman" w:hAnsi="Times New Roman" w:eastAsia="宋体"/>
                <w:bCs/>
                <w:sz w:val="24"/>
              </w:rPr>
            </w:pPr>
          </w:p>
        </w:tc>
        <w:tc>
          <w:tcPr>
            <w:tcW w:w="854" w:type="dxa"/>
            <w:noWrap w:val="0"/>
            <w:vAlign w:val="top"/>
          </w:tcPr>
          <w:p>
            <w:pPr>
              <w:spacing w:line="460" w:lineRule="exact"/>
              <w:rPr>
                <w:rFonts w:ascii="Times New Roman" w:hAnsi="Times New Roman" w:eastAsia="宋体"/>
                <w:bCs/>
                <w:sz w:val="24"/>
              </w:rPr>
            </w:pPr>
          </w:p>
        </w:tc>
        <w:tc>
          <w:tcPr>
            <w:tcW w:w="1253" w:type="dxa"/>
            <w:noWrap w:val="0"/>
            <w:vAlign w:val="top"/>
          </w:tcPr>
          <w:p>
            <w:pPr>
              <w:spacing w:line="460" w:lineRule="exact"/>
              <w:rPr>
                <w:rFonts w:ascii="Times New Roman" w:hAnsi="Times New Roman" w:eastAsia="宋体"/>
                <w:bCs/>
                <w:sz w:val="24"/>
              </w:rPr>
            </w:pPr>
          </w:p>
        </w:tc>
        <w:tc>
          <w:tcPr>
            <w:tcW w:w="2849" w:type="dxa"/>
            <w:tcBorders>
              <w:right w:val="single" w:color="auto" w:sz="4" w:space="0"/>
            </w:tcBorders>
            <w:noWrap w:val="0"/>
            <w:vAlign w:val="top"/>
          </w:tcPr>
          <w:p>
            <w:pPr>
              <w:spacing w:line="460" w:lineRule="exact"/>
              <w:rPr>
                <w:rFonts w:ascii="Times New Roman" w:hAnsi="Times New Roman" w:eastAsia="宋体"/>
                <w:bCs/>
                <w:sz w:val="24"/>
              </w:rPr>
            </w:pPr>
          </w:p>
        </w:tc>
        <w:tc>
          <w:tcPr>
            <w:tcW w:w="2505" w:type="dxa"/>
            <w:tcBorders>
              <w:left w:val="single" w:color="auto" w:sz="4" w:space="0"/>
            </w:tcBorders>
            <w:noWrap w:val="0"/>
            <w:vAlign w:val="top"/>
          </w:tcPr>
          <w:p>
            <w:pPr>
              <w:spacing w:line="460" w:lineRule="exact"/>
              <w:rPr>
                <w:rFonts w:ascii="Times New Roman" w:hAnsi="Times New Roman"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6" w:type="dxa"/>
            <w:gridSpan w:val="6"/>
            <w:noWrap w:val="0"/>
            <w:vAlign w:val="top"/>
          </w:tcPr>
          <w:p>
            <w:pPr>
              <w:spacing w:line="460" w:lineRule="exact"/>
              <w:rPr>
                <w:rFonts w:ascii="Times New Roman" w:hAnsi="Times New Roman" w:eastAsia="宋体"/>
                <w:bCs/>
                <w:sz w:val="24"/>
              </w:rPr>
            </w:pPr>
            <w:r>
              <w:rPr>
                <w:rFonts w:ascii="Times New Roman" w:hAnsi="Times New Roman" w:eastAsia="宋体"/>
                <w:bCs/>
                <w:sz w:val="24"/>
              </w:rPr>
              <w:t xml:space="preserve">总计：大写         ￥         </w:t>
            </w:r>
          </w:p>
        </w:tc>
      </w:tr>
    </w:tbl>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2．合同总金额（人民币大写）：</w:t>
      </w:r>
      <w:r>
        <w:rPr>
          <w:rFonts w:ascii="Times New Roman" w:hAnsi="Times New Roman" w:eastAsia="宋体"/>
          <w:bCs/>
          <w:sz w:val="24"/>
          <w:u w:val="single"/>
        </w:rPr>
        <w:t xml:space="preserve">       </w:t>
      </w:r>
      <w:r>
        <w:rPr>
          <w:rFonts w:ascii="Times New Roman" w:hAnsi="Times New Roman" w:eastAsia="宋体"/>
          <w:bCs/>
          <w:sz w:val="24"/>
        </w:rPr>
        <w:t>元整（￥</w:t>
      </w:r>
      <w:r>
        <w:rPr>
          <w:rFonts w:ascii="Times New Roman" w:hAnsi="Times New Roman" w:eastAsia="宋体"/>
          <w:bCs/>
          <w:sz w:val="24"/>
          <w:u w:val="single"/>
        </w:rPr>
        <w:t xml:space="preserve">       </w:t>
      </w:r>
      <w:r>
        <w:rPr>
          <w:rFonts w:ascii="Times New Roman" w:hAnsi="Times New Roman" w:eastAsia="宋体"/>
          <w:bCs/>
          <w:sz w:val="24"/>
        </w:rPr>
        <w:t>），此价为安装验收合格后的含增值税</w:t>
      </w:r>
      <w:r>
        <w:rPr>
          <w:rFonts w:ascii="Times New Roman" w:hAnsi="Times New Roman" w:eastAsia="宋体"/>
          <w:bCs/>
          <w:sz w:val="24"/>
          <w:u w:val="single"/>
        </w:rPr>
        <w:t xml:space="preserve">     </w:t>
      </w:r>
      <w:r>
        <w:rPr>
          <w:rFonts w:ascii="Times New Roman" w:hAnsi="Times New Roman" w:eastAsia="宋体"/>
          <w:bCs/>
          <w:sz w:val="24"/>
        </w:rPr>
        <w:t>（专用/普通）发票，税率为</w:t>
      </w:r>
      <w:r>
        <w:rPr>
          <w:rFonts w:ascii="Times New Roman" w:hAnsi="Times New Roman" w:eastAsia="宋体"/>
          <w:bCs/>
          <w:sz w:val="24"/>
          <w:u w:val="single"/>
        </w:rPr>
        <w:t xml:space="preserve">     </w:t>
      </w:r>
      <w:r>
        <w:rPr>
          <w:rFonts w:ascii="Times New Roman" w:hAnsi="Times New Roman" w:eastAsia="宋体"/>
          <w:bCs/>
          <w:sz w:val="24"/>
        </w:rPr>
        <w:t>。含运费价，最后以实际验收规格数量结算。</w:t>
      </w:r>
    </w:p>
    <w:p>
      <w:pPr>
        <w:spacing w:line="400" w:lineRule="exact"/>
        <w:ind w:left="-177" w:leftChars="-256" w:hanging="361"/>
        <w:rPr>
          <w:rFonts w:ascii="Times New Roman" w:hAnsi="Times New Roman" w:eastAsia="宋体"/>
          <w:b/>
          <w:bCs/>
          <w:sz w:val="24"/>
        </w:rPr>
      </w:pPr>
      <w:r>
        <w:rPr>
          <w:rFonts w:ascii="Times New Roman" w:hAnsi="Times New Roman" w:eastAsia="宋体"/>
          <w:bCs/>
          <w:sz w:val="24"/>
        </w:rPr>
        <w:t xml:space="preserve">  </w:t>
      </w:r>
      <w:r>
        <w:rPr>
          <w:rFonts w:ascii="Times New Roman" w:hAnsi="Times New Roman" w:eastAsia="宋体"/>
          <w:b/>
          <w:bCs/>
          <w:sz w:val="24"/>
        </w:rPr>
        <w:t xml:space="preserve">  二、交货与验收</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1．交货时间：</w:t>
      </w:r>
    </w:p>
    <w:p>
      <w:pPr>
        <w:spacing w:line="400" w:lineRule="exact"/>
        <w:ind w:left="-538" w:leftChars="-256"/>
        <w:rPr>
          <w:rFonts w:ascii="Times New Roman" w:hAnsi="Times New Roman" w:eastAsia="宋体"/>
          <w:bCs/>
          <w:sz w:val="24"/>
        </w:rPr>
      </w:pPr>
      <w:r>
        <w:rPr>
          <w:rFonts w:ascii="Times New Roman" w:hAnsi="Times New Roman" w:eastAsia="宋体"/>
          <w:bCs/>
          <w:sz w:val="24"/>
        </w:rPr>
        <w:t>合同签订后</w:t>
      </w:r>
      <w:r>
        <w:rPr>
          <w:rFonts w:ascii="Times New Roman" w:hAnsi="Times New Roman" w:eastAsia="宋体"/>
          <w:bCs/>
          <w:sz w:val="24"/>
          <w:u w:val="single"/>
        </w:rPr>
        <w:t xml:space="preserve">      </w:t>
      </w:r>
      <w:r>
        <w:rPr>
          <w:rFonts w:ascii="Times New Roman" w:hAnsi="Times New Roman" w:eastAsia="宋体"/>
          <w:bCs/>
          <w:sz w:val="24"/>
        </w:rPr>
        <w:t>日内将设备送至交货地点，并免费进行安装、调试及培训，直到交付使用。若由甲方原因造成项目推迟，则双方重新商定交货时间，乙方自行承担仓储费及其他费用。</w:t>
      </w:r>
    </w:p>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2．交货地点：厦门大学翔安校区</w:t>
      </w:r>
      <w:r>
        <w:rPr>
          <w:rFonts w:ascii="Times New Roman" w:hAnsi="Times New Roman" w:eastAsia="宋体"/>
          <w:bCs/>
          <w:sz w:val="24"/>
          <w:u w:val="single"/>
        </w:rPr>
        <w:t xml:space="preserve">       </w:t>
      </w:r>
      <w:r>
        <w:rPr>
          <w:rFonts w:ascii="Times New Roman" w:hAnsi="Times New Roman" w:eastAsia="宋体"/>
          <w:bCs/>
          <w:sz w:val="24"/>
        </w:rPr>
        <w:t>楼</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3．验收方式：所有货物到货10个工作日内，由使用方负责组织验收。</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三、付款方式</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1．</w:t>
      </w:r>
      <w:r>
        <w:rPr>
          <w:rFonts w:ascii="Times New Roman" w:hAnsi="Times New Roman" w:eastAsia="宋体"/>
          <w:bCs/>
          <w:sz w:val="24"/>
          <w:highlight w:val="none"/>
        </w:rPr>
        <w:t>全部货物验收合格，乙方提供100%增值税专用发票后的15个工作日内，甲方一次性付清合同总金额100%，即人民币</w:t>
      </w:r>
      <w:r>
        <w:rPr>
          <w:rFonts w:ascii="Times New Roman" w:hAnsi="Times New Roman" w:eastAsia="宋体"/>
          <w:bCs/>
          <w:sz w:val="24"/>
          <w:highlight w:val="none"/>
          <w:u w:val="single"/>
        </w:rPr>
        <w:t xml:space="preserve">         </w:t>
      </w:r>
      <w:r>
        <w:rPr>
          <w:rFonts w:ascii="Times New Roman" w:hAnsi="Times New Roman" w:eastAsia="宋体"/>
          <w:bCs/>
          <w:sz w:val="24"/>
          <w:highlight w:val="none"/>
        </w:rPr>
        <w:t>元整大写</w:t>
      </w:r>
      <w:r>
        <w:rPr>
          <w:rFonts w:ascii="Times New Roman" w:hAnsi="Times New Roman" w:eastAsia="宋体"/>
          <w:bCs/>
          <w:sz w:val="24"/>
          <w:highlight w:val="none"/>
          <w:u w:val="single"/>
        </w:rPr>
        <w:t xml:space="preserve">      </w:t>
      </w:r>
      <w:r>
        <w:rPr>
          <w:rFonts w:ascii="Times New Roman" w:hAnsi="Times New Roman" w:eastAsia="宋体"/>
          <w:bCs/>
          <w:sz w:val="24"/>
          <w:highlight w:val="none"/>
        </w:rPr>
        <w:t>元整。</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2．付款方式为甲方转账给乙方指定的银行账户。</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四、甲方责任和义务</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甲方按本合同条款及时验收及付款。</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五、乙方责任和义务</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1．质量保证：乙方对产品质量实行三包，所有货物保用</w:t>
      </w:r>
      <w:r>
        <w:rPr>
          <w:rFonts w:ascii="Times New Roman" w:hAnsi="Times New Roman" w:eastAsia="宋体"/>
          <w:bCs/>
          <w:sz w:val="24"/>
          <w:u w:val="single"/>
        </w:rPr>
        <w:t xml:space="preserve">    </w:t>
      </w:r>
      <w:r>
        <w:rPr>
          <w:rFonts w:ascii="Times New Roman" w:hAnsi="Times New Roman" w:eastAsia="宋体"/>
          <w:bCs/>
          <w:sz w:val="24"/>
        </w:rPr>
        <w:t>年。在保用期</w:t>
      </w:r>
      <w:r>
        <w:rPr>
          <w:rFonts w:ascii="Times New Roman" w:hAnsi="Times New Roman" w:eastAsia="宋体"/>
          <w:bCs/>
          <w:sz w:val="24"/>
          <w:u w:val="single"/>
        </w:rPr>
        <w:t xml:space="preserve">  </w:t>
      </w:r>
      <w:r>
        <w:rPr>
          <w:rFonts w:ascii="Times New Roman" w:hAnsi="Times New Roman" w:eastAsia="宋体"/>
          <w:bCs/>
          <w:sz w:val="24"/>
        </w:rPr>
        <w:t>年内，定期派人上门检查，保用期内所出现的产品质量问题，乙方应无偿进行免费更换及维修。</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2．在产品使用过程中，乙方对甲方依照本合同提出的保修等要求，应在24小时内响应并修复完毕，无法修复的提供同等样品的备用品。</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3．乙方在保用期内对货物提供免费更换及维修，并承诺终身维修。保用期后维修仅收取零部件费用。</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4．保修期过后，甲方向乙方购置本合同购买货物的配套配件时，乙方应按   %折扣优惠出售。</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六、违约责任</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1．若乙方提供产品经验收不合格，甲方有权要求乙方整改或退回不合格产品，由此造成甲方的损失由乙方负责。</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2．乙方交货每逾期壹天，按该批应交货物总金额的1‰赔偿给甲方，由此引起的一切损失，由乙方负责，</w:t>
      </w:r>
      <w:r>
        <w:rPr>
          <w:rFonts w:ascii="Times New Roman" w:hAnsi="Times New Roman" w:eastAsia="宋体"/>
          <w:bCs/>
          <w:sz w:val="24"/>
          <w:highlight w:val="none"/>
        </w:rPr>
        <w:t>逾期</w:t>
      </w:r>
      <w:r>
        <w:rPr>
          <w:rFonts w:ascii="Times New Roman" w:hAnsi="Times New Roman" w:eastAsia="宋体"/>
          <w:bCs/>
          <w:sz w:val="24"/>
          <w:highlight w:val="none"/>
          <w:u w:val="single"/>
        </w:rPr>
        <w:t>10</w:t>
      </w:r>
      <w:r>
        <w:rPr>
          <w:rFonts w:ascii="Times New Roman" w:hAnsi="Times New Roman" w:eastAsia="宋体"/>
          <w:bCs/>
          <w:sz w:val="24"/>
          <w:highlight w:val="none"/>
        </w:rPr>
        <w:t>日的</w:t>
      </w:r>
      <w:r>
        <w:rPr>
          <w:rFonts w:ascii="Times New Roman" w:hAnsi="Times New Roman" w:eastAsia="宋体"/>
          <w:bCs/>
          <w:sz w:val="24"/>
        </w:rPr>
        <w:t>，甲方有权单方解除本协议，一切因乙方不履行协议或逾期履行协议所致之损失均由乙方承担。</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 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七、其它条款</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1．乙方应做好生产、运输、拆卸、安装、调试等安全管理工作，为相关人员、设备、车辆购买保险，如果在全部货物调试完毕交付甲方使用之前发生任何安全责任事故，乙方须承担全部责任，与甲方无关。</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2．合同履行过程中若发生争议，采取协商解决，若协商不成时向甲方所在地人民法院提起诉讼。</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3．本合同条款未尽事宜遵照有关法律、法规执行。</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4．合同清单为合同的附件具有同等法律效力。</w:t>
      </w:r>
    </w:p>
    <w:p>
      <w:pPr>
        <w:pStyle w:val="4"/>
        <w:spacing w:line="460" w:lineRule="exact"/>
        <w:ind w:left="312" w:leftChars="-122" w:hanging="568" w:hangingChars="200"/>
        <w:outlineLvl w:val="0"/>
        <w:rPr>
          <w:rFonts w:ascii="Times New Roman" w:hAnsi="Times New Roman" w:eastAsia="宋体"/>
          <w:bCs/>
          <w:sz w:val="24"/>
        </w:rPr>
      </w:pPr>
      <w:r>
        <w:rPr>
          <w:rFonts w:ascii="Times New Roman" w:hAnsi="Times New Roman" w:eastAsia="宋体"/>
          <w:bCs/>
          <w:sz w:val="24"/>
        </w:rPr>
        <w:t xml:space="preserve">  5. 本合同壹式贰份。甲、乙双方各执壹份且具有同等法律效力。</w:t>
      </w:r>
    </w:p>
    <w:p>
      <w:pPr>
        <w:spacing w:line="460" w:lineRule="exact"/>
        <w:ind w:left="-179" w:leftChars="-257" w:hanging="361"/>
        <w:rPr>
          <w:rFonts w:ascii="Times New Roman" w:hAnsi="Times New Roman" w:eastAsia="宋体"/>
          <w:bCs/>
          <w:sz w:val="24"/>
        </w:rPr>
      </w:pP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甲方：嘉庚创新实验室                    乙方：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签约代表：                              代表：</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开户行：工行厦门厦大支行                开户行：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纳税人识别号：12350000MB1C15088Q        账号：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合同邮寄地址：厦门大学翔安校区能源      地址：</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材料大楼3404室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电话：0592-2882502                      移动电话: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                                        电话： </w:t>
      </w:r>
    </w:p>
    <w:p>
      <w:pPr>
        <w:spacing w:line="460" w:lineRule="exact"/>
        <w:ind w:left="-330" w:leftChars="-157" w:firstLine="4320" w:firstLineChars="1800"/>
        <w:rPr>
          <w:rFonts w:ascii="Times New Roman" w:hAnsi="Times New Roman" w:eastAsia="宋体"/>
          <w:bCs/>
          <w:sz w:val="24"/>
        </w:rPr>
      </w:pPr>
      <w:r>
        <w:rPr>
          <w:rFonts w:ascii="Times New Roman" w:hAnsi="Times New Roman" w:eastAsia="宋体"/>
          <w:bCs/>
          <w:sz w:val="24"/>
        </w:rPr>
        <w:t xml:space="preserve">  传真：</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                                        移动电话：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使用方：</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使用方代表及电话：</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收货地址：</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本合同签订日期：202  年  月  日</w:t>
      </w:r>
    </w:p>
    <w:p>
      <w:pPr>
        <w:spacing w:line="460" w:lineRule="exact"/>
        <w:ind w:left="-179" w:leftChars="-257" w:hanging="361"/>
        <w:jc w:val="left"/>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widowControl/>
        <w:jc w:val="left"/>
        <w:rPr>
          <w:sz w:val="24"/>
        </w:rPr>
      </w:pPr>
      <w:r>
        <w:rPr>
          <w:sz w:val="24"/>
        </w:rPr>
        <w:br w:type="page"/>
      </w:r>
    </w:p>
    <w:p>
      <w:pPr>
        <w:spacing w:line="360" w:lineRule="auto"/>
        <w:jc w:val="left"/>
        <w:rPr>
          <w:sz w:val="24"/>
        </w:rPr>
      </w:pPr>
      <w:r>
        <w:rPr>
          <w:rFonts w:hint="eastAsia"/>
          <w:sz w:val="24"/>
        </w:rPr>
        <w:t xml:space="preserve">附件1 </w:t>
      </w:r>
      <w:r>
        <w:rPr>
          <w:sz w:val="24"/>
        </w:rPr>
        <w:t xml:space="preserve">  </w:t>
      </w:r>
    </w:p>
    <w:p>
      <w:pPr>
        <w:pStyle w:val="19"/>
        <w:rPr>
          <w:rFonts w:hint="eastAsia" w:ascii="宋体" w:hAnsi="宋体" w:eastAsia="宋体" w:cs="宋体"/>
          <w:sz w:val="24"/>
          <w:szCs w:val="24"/>
        </w:rPr>
      </w:pPr>
      <w:r>
        <w:rPr>
          <w:rFonts w:hint="eastAsia" w:ascii="宋体" w:hAnsi="宋体" w:eastAsia="宋体" w:cs="宋体"/>
          <w:sz w:val="24"/>
          <w:szCs w:val="24"/>
        </w:rPr>
        <w:t>氢气纯化器参数要求</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额定气体流量：20 Nm3/h；</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最大气体压力：1.0MPa；</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最大气体压差：0.1MPa；</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进气纯度：99.999%（5N）；</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出气纯度：99.9999999%（9N）,H2O,O2,CO,CO2,N2,NMHC 等分项含量小于 1ppb；</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内置颗粒过滤器（≦0.003 微米）；</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采用前级常温吸附剂+后级高温吸气剂Getter设计，前级能先把原料气中的常规杂质去除（H2O, O2, CO, CO2等），且前级具有原位再生功能，后级能把常温去除不了的杂质（例如CH4, N2）去除；</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纯化单元使用寿命不低于5年；</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后级Getter单元饱和后更换费用不得超过整机价格的35%；</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质保期不低于2年；</w:t>
      </w:r>
    </w:p>
    <w:p>
      <w:pPr>
        <w:pStyle w:val="21"/>
        <w:widowControl/>
        <w:numPr>
          <w:ilvl w:val="3"/>
          <w:numId w:val="9"/>
        </w:numPr>
        <w:spacing w:line="360" w:lineRule="auto"/>
        <w:ind w:left="420" w:firstLineChars="0"/>
        <w:jc w:val="left"/>
        <w:rPr>
          <w:rFonts w:hint="eastAsia" w:ascii="宋体" w:hAnsi="宋体" w:eastAsia="宋体" w:cs="宋体"/>
          <w:sz w:val="24"/>
          <w:szCs w:val="24"/>
        </w:rPr>
      </w:pPr>
      <w:r>
        <w:rPr>
          <w:rFonts w:hint="eastAsia" w:ascii="宋体" w:hAnsi="宋体" w:eastAsia="宋体" w:cs="宋体"/>
          <w:sz w:val="24"/>
          <w:szCs w:val="24"/>
        </w:rPr>
        <w:t>供货期不超过3个月。</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rPr>
          <w:sz w:val="24"/>
        </w:rPr>
      </w:pPr>
      <w:r>
        <w:rPr>
          <w:rFonts w:hint="eastAsia"/>
          <w:sz w:val="24"/>
        </w:rPr>
        <w:t xml:space="preserve">附件2 </w:t>
      </w:r>
      <w:r>
        <w:rPr>
          <w:sz w:val="24"/>
        </w:rPr>
        <w:t xml:space="preserve">  </w:t>
      </w:r>
    </w:p>
    <w:p>
      <w:pPr>
        <w:pStyle w:val="19"/>
        <w:rPr>
          <w:rFonts w:hint="eastAsia" w:ascii="宋体" w:hAnsi="宋体" w:eastAsia="宋体" w:cs="宋体"/>
          <w:sz w:val="24"/>
          <w:szCs w:val="24"/>
        </w:rPr>
      </w:pPr>
      <w:r>
        <w:rPr>
          <w:rFonts w:hint="eastAsia" w:ascii="宋体" w:hAnsi="宋体" w:eastAsia="宋体" w:cs="宋体"/>
          <w:sz w:val="24"/>
          <w:szCs w:val="24"/>
        </w:rPr>
        <w:t>氩气纯化器参数要求</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额定气体流量：20 Nm3/h；</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最大气体压力：1.0MPa；</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最大气体压差：0.1MPa；</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进气纯度：99.999%（5N）；</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出气纯度：99.9999999%（9N）,H2O,O2,CO,CO2,N2,NMHC 等分项含量小于 1ppb；</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内置颗粒过滤器（≦0.003 微米）；</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采用前级常温吸附剂+后级高温吸气剂Getter设计，前级能先把原料气中的常规杂质去除（H2O, O2, CO, CO2等），且前级具有原位再生功能，后级能把常温去除不了的杂质（例如CH4, N2）去除；</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纯化单元使用寿命不低于5年；</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后级Getter单元饱和后更换费用不得超过整机价格的35%；</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质保期不低于2年；</w:t>
      </w:r>
    </w:p>
    <w:p>
      <w:pPr>
        <w:pStyle w:val="21"/>
        <w:widowControl/>
        <w:numPr>
          <w:ilvl w:val="0"/>
          <w:numId w:val="11"/>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供货期不超过3个月。</w:t>
      </w:r>
    </w:p>
    <w:p>
      <w:pPr>
        <w:spacing w:line="360" w:lineRule="auto"/>
        <w:jc w:val="left"/>
        <w:rPr>
          <w:rFonts w:hint="eastAsia" w:ascii="宋体" w:hAnsi="宋体" w:eastAsia="宋体" w:cs="宋体"/>
          <w:sz w:val="24"/>
          <w:szCs w:val="24"/>
          <w:highlight w:val="none"/>
        </w:rPr>
      </w:pP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供应商要求：</w:t>
      </w:r>
    </w:p>
    <w:p>
      <w:pPr>
        <w:pStyle w:val="21"/>
        <w:numPr>
          <w:ilvl w:val="0"/>
          <w:numId w:val="12"/>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在碳化硅外延业绩不少于3家；</w:t>
      </w:r>
    </w:p>
    <w:p>
      <w:pPr>
        <w:pStyle w:val="21"/>
        <w:numPr>
          <w:ilvl w:val="0"/>
          <w:numId w:val="12"/>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在化合物半导体外延业绩不少于20家；</w:t>
      </w:r>
    </w:p>
    <w:p>
      <w:pPr>
        <w:pStyle w:val="21"/>
        <w:numPr>
          <w:ilvl w:val="0"/>
          <w:numId w:val="12"/>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在厦门当地化合物半导体客户中，机柜型纯化设备的应用保有量超过10台</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B4D1F12"/>
    <w:multiLevelType w:val="multilevel"/>
    <w:tmpl w:val="4B4D1F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562F7B"/>
    <w:multiLevelType w:val="multilevel"/>
    <w:tmpl w:val="4D562F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11"/>
  </w:num>
  <w:num w:numId="6">
    <w:abstractNumId w:val="5"/>
  </w:num>
  <w:num w:numId="7">
    <w:abstractNumId w:val="2"/>
  </w:num>
  <w:num w:numId="8">
    <w:abstractNumId w:val="1"/>
  </w:num>
  <w:num w:numId="9">
    <w:abstractNumId w:val="3"/>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5CE4"/>
    <w:rsid w:val="001B3020"/>
    <w:rsid w:val="001F0072"/>
    <w:rsid w:val="001F4078"/>
    <w:rsid w:val="001F41D1"/>
    <w:rsid w:val="002024AD"/>
    <w:rsid w:val="00205C91"/>
    <w:rsid w:val="00221BBE"/>
    <w:rsid w:val="002577C3"/>
    <w:rsid w:val="00271E4F"/>
    <w:rsid w:val="002D63AE"/>
    <w:rsid w:val="00357598"/>
    <w:rsid w:val="00363E7F"/>
    <w:rsid w:val="003952B5"/>
    <w:rsid w:val="003A7214"/>
    <w:rsid w:val="003B5EF3"/>
    <w:rsid w:val="003D0806"/>
    <w:rsid w:val="003E17BF"/>
    <w:rsid w:val="00404174"/>
    <w:rsid w:val="004443A9"/>
    <w:rsid w:val="00454B35"/>
    <w:rsid w:val="00466E9E"/>
    <w:rsid w:val="0049546C"/>
    <w:rsid w:val="004F204B"/>
    <w:rsid w:val="004F2137"/>
    <w:rsid w:val="0050790C"/>
    <w:rsid w:val="00515C0E"/>
    <w:rsid w:val="00592E5C"/>
    <w:rsid w:val="00596EFC"/>
    <w:rsid w:val="005D0327"/>
    <w:rsid w:val="005E39D7"/>
    <w:rsid w:val="00607AB4"/>
    <w:rsid w:val="006216EC"/>
    <w:rsid w:val="00654D85"/>
    <w:rsid w:val="006600C4"/>
    <w:rsid w:val="00666B09"/>
    <w:rsid w:val="006728FA"/>
    <w:rsid w:val="006729E0"/>
    <w:rsid w:val="00675A1F"/>
    <w:rsid w:val="006B03C3"/>
    <w:rsid w:val="006C7A9B"/>
    <w:rsid w:val="006D1705"/>
    <w:rsid w:val="006F1BDE"/>
    <w:rsid w:val="007239BC"/>
    <w:rsid w:val="00724054"/>
    <w:rsid w:val="00756C6B"/>
    <w:rsid w:val="00773419"/>
    <w:rsid w:val="00786041"/>
    <w:rsid w:val="007B6902"/>
    <w:rsid w:val="0083518E"/>
    <w:rsid w:val="008B7766"/>
    <w:rsid w:val="008C0304"/>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76D5B"/>
    <w:rsid w:val="00A9547E"/>
    <w:rsid w:val="00AB32FA"/>
    <w:rsid w:val="00AE539C"/>
    <w:rsid w:val="00AE5D17"/>
    <w:rsid w:val="00AF6147"/>
    <w:rsid w:val="00B2170A"/>
    <w:rsid w:val="00B777BC"/>
    <w:rsid w:val="00BE4315"/>
    <w:rsid w:val="00C21064"/>
    <w:rsid w:val="00C3212D"/>
    <w:rsid w:val="00C37374"/>
    <w:rsid w:val="00C574EF"/>
    <w:rsid w:val="00C57FE6"/>
    <w:rsid w:val="00CF7445"/>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53F4078"/>
    <w:rsid w:val="19DC45B9"/>
    <w:rsid w:val="1CD91C97"/>
    <w:rsid w:val="1FC856F7"/>
    <w:rsid w:val="213304E0"/>
    <w:rsid w:val="218D543C"/>
    <w:rsid w:val="261418AC"/>
    <w:rsid w:val="262554A0"/>
    <w:rsid w:val="2ADA0F0C"/>
    <w:rsid w:val="2D126148"/>
    <w:rsid w:val="2DA57A2F"/>
    <w:rsid w:val="2DDB6773"/>
    <w:rsid w:val="2E18449A"/>
    <w:rsid w:val="2EA64C67"/>
    <w:rsid w:val="2ED71E23"/>
    <w:rsid w:val="2FE50145"/>
    <w:rsid w:val="310F4F7A"/>
    <w:rsid w:val="326B7E8B"/>
    <w:rsid w:val="3375635B"/>
    <w:rsid w:val="34826751"/>
    <w:rsid w:val="36D36FF4"/>
    <w:rsid w:val="376357E1"/>
    <w:rsid w:val="380A3047"/>
    <w:rsid w:val="39F4487A"/>
    <w:rsid w:val="3ABA67BF"/>
    <w:rsid w:val="3E357A0D"/>
    <w:rsid w:val="40EF77EF"/>
    <w:rsid w:val="43E942BE"/>
    <w:rsid w:val="441473E3"/>
    <w:rsid w:val="483B62A9"/>
    <w:rsid w:val="4A8D603B"/>
    <w:rsid w:val="4B6B5642"/>
    <w:rsid w:val="4F4B7F6C"/>
    <w:rsid w:val="50275A13"/>
    <w:rsid w:val="5152568B"/>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 w:type="character" w:styleId="24">
    <w:name w:val="Placeholder Text"/>
    <w:basedOn w:val="1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FF8A9-BB01-47E2-880B-9F776B8067ED}">
  <ds:schemaRefs/>
</ds:datastoreItem>
</file>

<file path=docProps/app.xml><?xml version="1.0" encoding="utf-8"?>
<Properties xmlns="http://schemas.openxmlformats.org/officeDocument/2006/extended-properties" xmlns:vt="http://schemas.openxmlformats.org/officeDocument/2006/docPropsVTypes">
  <Template>Normal</Template>
  <Company>kk</Company>
  <Pages>31</Pages>
  <Words>2445</Words>
  <Characters>13937</Characters>
  <Lines>116</Lines>
  <Paragraphs>32</Paragraphs>
  <TotalTime>75</TotalTime>
  <ScaleCrop>false</ScaleCrop>
  <LinksUpToDate>false</LinksUpToDate>
  <CharactersWithSpaces>16350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红日初升</cp:lastModifiedBy>
  <dcterms:modified xsi:type="dcterms:W3CDTF">2021-04-08T03:07:43Z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385DC07266B14BF6B989DA607E7D3D43</vt:lpwstr>
  </property>
</Properties>
</file>