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ind w:firstLine="3253" w:firstLineChars="900"/>
        <w:rPr>
          <w:rFonts w:ascii="宋体" w:hAnsi="宋体"/>
          <w:b/>
          <w:bCs/>
          <w:sz w:val="36"/>
          <w:szCs w:val="28"/>
        </w:rPr>
      </w:pPr>
      <w:r>
        <w:rPr>
          <w:rFonts w:hint="eastAsia" w:ascii="宋体" w:hAnsi="宋体"/>
          <w:b/>
          <w:bCs/>
          <w:sz w:val="36"/>
          <w:szCs w:val="28"/>
        </w:rPr>
        <w:t>光谱椭偏仪</w:t>
      </w:r>
    </w:p>
    <w:p>
      <w:pPr>
        <w:ind w:firstLine="3253" w:firstLineChars="900"/>
        <w:rPr>
          <w:rFonts w:ascii="宋体" w:hAnsi="宋体"/>
          <w:b/>
          <w:bCs/>
          <w:sz w:val="36"/>
          <w:szCs w:val="28"/>
        </w:rPr>
      </w:pPr>
    </w:p>
    <w:p>
      <w:pPr>
        <w:spacing w:line="360" w:lineRule="auto"/>
        <w:jc w:val="center"/>
        <w:rPr>
          <w:rFonts w:ascii="宋体" w:hAnsi="宋体"/>
          <w:b/>
          <w:bCs/>
          <w:sz w:val="36"/>
          <w:szCs w:val="28"/>
        </w:rPr>
      </w:pPr>
      <w:r>
        <w:rPr>
          <w:rFonts w:hint="eastAsia" w:ascii="宋体" w:hAnsi="宋体"/>
          <w:b/>
          <w:bCs/>
          <w:sz w:val="36"/>
          <w:szCs w:val="28"/>
        </w:rPr>
        <w:t xml:space="preserve">采购编号： </w:t>
      </w:r>
      <w:r>
        <w:rPr>
          <w:rFonts w:hint="eastAsia" w:ascii="宋体" w:hAnsi="宋体"/>
          <w:b/>
          <w:sz w:val="36"/>
          <w:szCs w:val="36"/>
        </w:rPr>
        <w:t>JGTP2020-011</w:t>
      </w:r>
      <w:r>
        <w:rPr>
          <w:rFonts w:hint="eastAsia" w:ascii="宋体" w:hAnsi="宋体"/>
          <w:b/>
          <w:bCs/>
          <w:sz w:val="36"/>
          <w:szCs w:val="28"/>
        </w:rPr>
        <w:t xml:space="preserve">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2020</w:t>
      </w:r>
      <w:r>
        <w:rPr>
          <w:rFonts w:hint="eastAsia" w:ascii="宋体" w:hAnsi="宋体"/>
          <w:b/>
          <w:bCs/>
          <w:sz w:val="28"/>
          <w:szCs w:val="28"/>
        </w:rPr>
        <w:t>年10月27日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光谱椭偏仪</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 xml:space="preserve">采购编号：JGTP2020-011 </w:t>
      </w:r>
    </w:p>
    <w:p>
      <w:pPr>
        <w:numPr>
          <w:ilvl w:val="0"/>
          <w:numId w:val="2"/>
        </w:numPr>
        <w:spacing w:line="360" w:lineRule="auto"/>
        <w:rPr>
          <w:rFonts w:ascii="宋体"/>
          <w:sz w:val="28"/>
          <w:szCs w:val="28"/>
        </w:rPr>
      </w:pPr>
      <w:r>
        <w:rPr>
          <w:rFonts w:hint="eastAsia" w:ascii="宋体" w:hAnsi="宋体"/>
          <w:sz w:val="28"/>
          <w:szCs w:val="28"/>
        </w:rPr>
        <w:t>采购项目：光谱椭偏仪</w:t>
      </w:r>
    </w:p>
    <w:p>
      <w:pPr>
        <w:numPr>
          <w:ilvl w:val="0"/>
          <w:numId w:val="2"/>
        </w:numPr>
        <w:spacing w:line="360" w:lineRule="auto"/>
        <w:rPr>
          <w:rFonts w:ascii="宋体"/>
          <w:sz w:val="28"/>
          <w:szCs w:val="28"/>
          <w:highlight w:val="none"/>
        </w:rPr>
      </w:pPr>
      <w:r>
        <w:rPr>
          <w:rFonts w:hint="eastAsia" w:ascii="宋体" w:hAnsi="宋体"/>
          <w:sz w:val="28"/>
          <w:szCs w:val="28"/>
          <w:highlight w:val="none"/>
        </w:rPr>
        <w:t>采购预算：</w:t>
      </w:r>
      <w:r>
        <w:rPr>
          <w:rFonts w:hint="eastAsia"/>
          <w:sz w:val="28"/>
          <w:szCs w:val="28"/>
          <w:highlight w:val="none"/>
        </w:rPr>
        <w:t>本项目预算人民币</w:t>
      </w:r>
      <w:r>
        <w:rPr>
          <w:rFonts w:hint="eastAsia"/>
          <w:color w:val="000000"/>
          <w:sz w:val="24"/>
          <w:highlight w:val="none"/>
        </w:rPr>
        <w:t>99</w:t>
      </w:r>
      <w:r>
        <w:rPr>
          <w:rFonts w:hint="eastAsia"/>
          <w:color w:val="000000"/>
          <w:sz w:val="24"/>
          <w:highlight w:val="none"/>
          <w:lang w:val="en-US" w:eastAsia="zh-CN"/>
        </w:rPr>
        <w:t>0</w:t>
      </w:r>
      <w:r>
        <w:rPr>
          <w:rFonts w:hint="eastAsia"/>
          <w:color w:val="000000"/>
          <w:sz w:val="24"/>
          <w:highlight w:val="none"/>
        </w:rPr>
        <w:t>000</w:t>
      </w:r>
      <w:r>
        <w:rPr>
          <w:rFonts w:hint="eastAsia"/>
          <w:sz w:val="28"/>
          <w:szCs w:val="28"/>
          <w:highlight w:val="none"/>
        </w:rPr>
        <w:t>元（最高控制价）</w:t>
      </w:r>
      <w:bookmarkStart w:id="13" w:name="_GoBack"/>
      <w:bookmarkEnd w:id="13"/>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ascii="宋体" w:hAnsi="宋体"/>
          <w:b/>
          <w:sz w:val="28"/>
          <w:szCs w:val="28"/>
          <w:highlight w:val="none"/>
        </w:rPr>
      </w:pPr>
      <w:r>
        <w:rPr>
          <w:rFonts w:hint="eastAsia" w:ascii="宋体" w:hAnsi="宋体"/>
          <w:b/>
          <w:sz w:val="28"/>
          <w:szCs w:val="28"/>
          <w:highlight w:val="none"/>
        </w:rPr>
        <w:t>报价截止和磋商时间：</w:t>
      </w:r>
      <w:r>
        <w:rPr>
          <w:rFonts w:ascii="宋体" w:hAnsi="宋体"/>
          <w:b/>
          <w:sz w:val="28"/>
          <w:szCs w:val="28"/>
          <w:highlight w:val="none"/>
        </w:rPr>
        <w:t>2020</w:t>
      </w:r>
      <w:r>
        <w:rPr>
          <w:rFonts w:hint="eastAsia" w:ascii="宋体" w:hAnsi="宋体"/>
          <w:b/>
          <w:sz w:val="28"/>
          <w:szCs w:val="28"/>
          <w:highlight w:val="none"/>
        </w:rPr>
        <w:t>年11月5日下午15:00</w:t>
      </w:r>
    </w:p>
    <w:p>
      <w:pPr>
        <w:numPr>
          <w:ilvl w:val="0"/>
          <w:numId w:val="2"/>
        </w:numPr>
        <w:spacing w:after="100" w:afterAutospacing="1" w:line="360" w:lineRule="auto"/>
        <w:rPr>
          <w:rFonts w:ascii="宋体"/>
          <w:sz w:val="28"/>
          <w:szCs w:val="28"/>
          <w:highlight w:val="none"/>
        </w:rPr>
      </w:pPr>
      <w:r>
        <w:rPr>
          <w:rFonts w:hint="eastAsia" w:ascii="宋体" w:hAnsi="宋体"/>
          <w:sz w:val="28"/>
          <w:szCs w:val="28"/>
          <w:highlight w:val="none"/>
        </w:rPr>
        <w:t>报名及磋商文件发售截至时间：报价人必须在</w:t>
      </w:r>
      <w:r>
        <w:rPr>
          <w:rFonts w:ascii="宋体" w:hAnsi="宋体"/>
          <w:sz w:val="28"/>
          <w:szCs w:val="28"/>
          <w:highlight w:val="none"/>
        </w:rPr>
        <w:t>2020</w:t>
      </w:r>
      <w:r>
        <w:rPr>
          <w:rFonts w:hint="eastAsia" w:ascii="宋体" w:hAnsi="宋体"/>
          <w:sz w:val="28"/>
          <w:szCs w:val="28"/>
          <w:highlight w:val="none"/>
        </w:rPr>
        <w:t>年11月</w:t>
      </w:r>
      <w:r>
        <w:rPr>
          <w:rFonts w:hint="eastAsia" w:ascii="宋体" w:hAnsi="宋体"/>
          <w:sz w:val="28"/>
          <w:szCs w:val="28"/>
          <w:highlight w:val="none"/>
          <w:lang w:val="en-US" w:eastAsia="zh-CN"/>
        </w:rPr>
        <w:t>3</w:t>
      </w:r>
      <w:r>
        <w:rPr>
          <w:rFonts w:hint="eastAsia" w:ascii="宋体" w:hAnsi="宋体"/>
          <w:sz w:val="28"/>
          <w:szCs w:val="28"/>
          <w:highlight w:val="none"/>
        </w:rPr>
        <w:t>日下午15点前（节假日除外），以邮件方式进行报名（详见附件报名函），逾期视为放弃竞标机会。</w:t>
      </w:r>
    </w:p>
    <w:p>
      <w:pPr>
        <w:numPr>
          <w:ilvl w:val="0"/>
          <w:numId w:val="2"/>
        </w:numPr>
        <w:spacing w:line="560" w:lineRule="exact"/>
        <w:rPr>
          <w:rFonts w:ascii="宋体" w:hAnsi="宋体"/>
          <w:sz w:val="28"/>
          <w:szCs w:val="28"/>
          <w:highlight w:val="none"/>
        </w:rPr>
      </w:pPr>
      <w:r>
        <w:rPr>
          <w:rFonts w:hint="eastAsia" w:ascii="宋体" w:hAnsi="宋体"/>
          <w:sz w:val="28"/>
          <w:szCs w:val="28"/>
          <w:highlight w:val="none"/>
        </w:rPr>
        <w:t>开标地点：厦门市思明南路422号厦门大学颂恩楼</w:t>
      </w:r>
      <w:r>
        <w:rPr>
          <w:rFonts w:hint="eastAsia" w:ascii="宋体" w:hAnsi="宋体"/>
          <w:sz w:val="28"/>
          <w:szCs w:val="28"/>
          <w:highlight w:val="none"/>
          <w:lang w:val="en-US" w:eastAsia="zh-CN"/>
        </w:rPr>
        <w:t>714</w:t>
      </w:r>
      <w:r>
        <w:rPr>
          <w:rFonts w:hint="eastAsia" w:ascii="宋体" w:hAnsi="宋体"/>
          <w:sz w:val="28"/>
          <w:szCs w:val="28"/>
          <w:highlight w:val="none"/>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720"/>
        <w:rPr>
          <w:rFonts w:ascii="宋体" w:hAnsi="宋体"/>
          <w:color w:val="000000"/>
          <w:sz w:val="28"/>
          <w:szCs w:val="28"/>
          <w:shd w:val="clear" w:color="auto" w:fill="FFFFFF"/>
        </w:rPr>
      </w:pPr>
      <w:r>
        <w:rPr>
          <w:rFonts w:hint="eastAsia" w:ascii="宋体" w:hAnsi="宋体"/>
          <w:sz w:val="28"/>
          <w:szCs w:val="28"/>
        </w:rPr>
        <w:t>技术需求方面请联系用户单位：江老师 13600933243</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rPr>
          <w:rFonts w:ascii="宋体" w:hAnsi="宋体"/>
          <w:sz w:val="28"/>
          <w:szCs w:val="28"/>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w:t>
      </w:r>
      <w:r>
        <w:rPr>
          <w:rFonts w:ascii="宋体" w:hAnsi="宋体"/>
          <w:sz w:val="28"/>
          <w:szCs w:val="28"/>
        </w:rPr>
        <w:t xml:space="preserve">2186100 </w:t>
      </w:r>
    </w:p>
    <w:p>
      <w:pPr>
        <w:spacing w:line="360" w:lineRule="auto"/>
        <w:ind w:firstLine="1960" w:firstLineChars="700"/>
        <w:rPr>
          <w:rFonts w:ascii="宋体"/>
          <w:sz w:val="28"/>
          <w:szCs w:val="28"/>
        </w:rPr>
      </w:pPr>
      <w:r>
        <w:rPr>
          <w:rFonts w:ascii="宋体" w:hAnsi="宋体"/>
          <w:sz w:val="28"/>
          <w:szCs w:val="28"/>
        </w:rPr>
        <w:t>li.nan@xmu.edu.cn</w:t>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2020</w:t>
      </w:r>
      <w:r>
        <w:rPr>
          <w:rFonts w:hint="eastAsia" w:ascii="宋体" w:hAnsi="宋体"/>
          <w:sz w:val="28"/>
          <w:szCs w:val="28"/>
        </w:rPr>
        <w:t>年</w:t>
      </w:r>
      <w:r>
        <w:rPr>
          <w:rFonts w:hint="eastAsia" w:ascii="宋体" w:hAnsi="宋体"/>
          <w:sz w:val="28"/>
          <w:szCs w:val="28"/>
          <w:highlight w:val="none"/>
        </w:rPr>
        <w:t>10月28日</w:t>
      </w:r>
    </w:p>
    <w:p>
      <w:pPr>
        <w:ind w:firstLine="640" w:firstLineChars="200"/>
        <w:jc w:val="center"/>
        <w:rPr>
          <w:rFonts w:ascii="黑体" w:hAnsi="黑体" w:eastAsia="黑体"/>
          <w:sz w:val="32"/>
          <w:szCs w:val="32"/>
        </w:rPr>
      </w:pPr>
    </w:p>
    <w:p>
      <w:pPr>
        <w:ind w:firstLine="640" w:firstLineChars="200"/>
        <w:jc w:val="cente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4"/>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4"/>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4"/>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7"/>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0"/>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76"/>
        <w:gridCol w:w="567"/>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7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567"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6351"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276" w:type="dxa"/>
            <w:shd w:val="clear" w:color="000000" w:fill="FFFFFF"/>
            <w:vAlign w:val="center"/>
          </w:tcPr>
          <w:p>
            <w:pPr>
              <w:widowControl/>
              <w:jc w:val="center"/>
              <w:rPr>
                <w:rFonts w:ascii="宋体" w:hAnsi="宋体"/>
                <w:sz w:val="24"/>
                <w:highlight w:val="none"/>
              </w:rPr>
            </w:pPr>
            <w:r>
              <w:rPr>
                <w:rFonts w:ascii="宋体" w:hAnsi="宋体"/>
                <w:sz w:val="24"/>
                <w:highlight w:val="none"/>
              </w:rPr>
              <w:t>光谱椭偏仪</w:t>
            </w:r>
          </w:p>
        </w:tc>
        <w:tc>
          <w:tcPr>
            <w:tcW w:w="567" w:type="dxa"/>
            <w:shd w:val="clear" w:color="000000" w:fill="FFFFFF"/>
            <w:vAlign w:val="center"/>
          </w:tcPr>
          <w:p>
            <w:pPr>
              <w:widowControl/>
              <w:jc w:val="center"/>
              <w:rPr>
                <w:rFonts w:ascii="宋体" w:hAnsi="宋体"/>
                <w:kern w:val="0"/>
                <w:sz w:val="28"/>
                <w:szCs w:val="20"/>
                <w:highlight w:val="none"/>
              </w:rPr>
            </w:pPr>
            <w:r>
              <w:rPr>
                <w:rFonts w:hint="eastAsia" w:ascii="宋体" w:hAnsi="宋体"/>
                <w:kern w:val="0"/>
                <w:sz w:val="28"/>
                <w:szCs w:val="20"/>
                <w:highlight w:val="none"/>
              </w:rPr>
              <w:t>1套</w:t>
            </w:r>
          </w:p>
        </w:tc>
        <w:tc>
          <w:tcPr>
            <w:tcW w:w="6351" w:type="dxa"/>
            <w:shd w:val="clear" w:color="000000" w:fill="FFFFFF"/>
            <w:vAlign w:val="center"/>
          </w:tcPr>
          <w:p>
            <w:pPr>
              <w:widowControl/>
              <w:numPr>
                <w:ilvl w:val="0"/>
                <w:numId w:val="5"/>
              </w:numPr>
              <w:spacing w:line="276" w:lineRule="auto"/>
              <w:jc w:val="left"/>
            </w:pPr>
            <w:r>
              <w:rPr>
                <w:rFonts w:hint="eastAsia"/>
              </w:rPr>
              <w:t>光谱范围：满足或覆盖1</w:t>
            </w:r>
            <w:r>
              <w:t>93</w:t>
            </w:r>
            <w:r>
              <w:rPr>
                <w:rFonts w:hint="eastAsia"/>
              </w:rPr>
              <w:t>-</w:t>
            </w:r>
            <w:r>
              <w:t xml:space="preserve">1000 </w:t>
            </w:r>
            <w:r>
              <w:rPr>
                <w:rFonts w:hint="eastAsia"/>
              </w:rPr>
              <w:t>nm</w:t>
            </w:r>
          </w:p>
          <w:p>
            <w:pPr>
              <w:widowControl/>
              <w:numPr>
                <w:ilvl w:val="0"/>
                <w:numId w:val="5"/>
              </w:numPr>
              <w:spacing w:line="276" w:lineRule="auto"/>
              <w:jc w:val="left"/>
            </w:pPr>
            <w:r>
              <w:rPr>
                <w:rFonts w:hint="eastAsia"/>
              </w:rPr>
              <w:t>光斑尺寸</w:t>
            </w:r>
            <w:r>
              <w:t>：</w:t>
            </w:r>
            <w:r>
              <w:rPr>
                <w:rFonts w:hint="eastAsia"/>
              </w:rPr>
              <w:t>普通光斑</w:t>
            </w:r>
            <w:r>
              <w:t>直径</w:t>
            </w:r>
            <w:r>
              <w:rPr>
                <w:rFonts w:hint="eastAsia"/>
              </w:rPr>
              <w:t>≤4</w:t>
            </w:r>
            <w:r>
              <w:t>mm；微光斑</w:t>
            </w:r>
            <w:r>
              <w:rPr>
                <w:rFonts w:hint="eastAsia"/>
              </w:rPr>
              <w:t>直径≤</w:t>
            </w:r>
            <w:r>
              <w:t>300</w:t>
            </w:r>
            <w:r>
              <w:rPr>
                <w:rFonts w:hint="eastAsia"/>
              </w:rPr>
              <w:t>µm</w:t>
            </w:r>
          </w:p>
          <w:p>
            <w:pPr>
              <w:widowControl/>
              <w:numPr>
                <w:ilvl w:val="0"/>
                <w:numId w:val="5"/>
              </w:numPr>
              <w:spacing w:line="276" w:lineRule="auto"/>
              <w:jc w:val="left"/>
            </w:pPr>
            <w:r>
              <w:rPr>
                <w:rFonts w:hint="eastAsia"/>
              </w:rPr>
              <w:t>入射角：</w:t>
            </w:r>
            <w:r>
              <w:t xml:space="preserve">45° </w:t>
            </w:r>
            <w:r>
              <w:rPr>
                <w:rFonts w:hint="eastAsia"/>
              </w:rPr>
              <w:t>~</w:t>
            </w:r>
            <w:r>
              <w:t>90°</w:t>
            </w:r>
            <w:r>
              <w:rPr>
                <w:rFonts w:hint="eastAsia"/>
              </w:rPr>
              <w:t>，计算机控制连续变角，可以对样品多角度测量</w:t>
            </w:r>
          </w:p>
          <w:p>
            <w:pPr>
              <w:widowControl/>
              <w:numPr>
                <w:ilvl w:val="0"/>
                <w:numId w:val="5"/>
              </w:numPr>
              <w:spacing w:line="276" w:lineRule="auto"/>
              <w:jc w:val="left"/>
            </w:pPr>
            <w:r>
              <w:rPr>
                <w:rFonts w:hint="eastAsia"/>
              </w:rPr>
              <w:t>样品台大小：≥8寸</w:t>
            </w:r>
          </w:p>
          <w:p>
            <w:pPr>
              <w:widowControl/>
              <w:numPr>
                <w:ilvl w:val="0"/>
                <w:numId w:val="5"/>
              </w:numPr>
              <w:spacing w:line="276" w:lineRule="auto"/>
              <w:jc w:val="left"/>
            </w:pPr>
            <w:r>
              <w:rPr>
                <w:rFonts w:hint="eastAsia"/>
              </w:rPr>
              <w:t>Z轴（样品台高度）：计算机</w:t>
            </w:r>
            <w:r>
              <w:t>控制</w:t>
            </w:r>
            <w:r>
              <w:rPr>
                <w:rFonts w:hint="eastAsia"/>
              </w:rPr>
              <w:t>自动调节，最大行程不小于</w:t>
            </w:r>
            <w:r>
              <w:t>18</w:t>
            </w:r>
            <w:r>
              <w:rPr>
                <w:rFonts w:hint="eastAsia"/>
              </w:rPr>
              <w:t>mm</w:t>
            </w:r>
          </w:p>
          <w:p>
            <w:pPr>
              <w:widowControl/>
              <w:numPr>
                <w:ilvl w:val="0"/>
                <w:numId w:val="5"/>
              </w:numPr>
              <w:spacing w:line="276" w:lineRule="auto"/>
              <w:jc w:val="left"/>
            </w:pPr>
            <w:r>
              <w:rPr>
                <w:rFonts w:hint="eastAsia"/>
              </w:rPr>
              <w:t>自动样品移动台：X</w:t>
            </w:r>
            <w:r>
              <w:t xml:space="preserve">/Y </w:t>
            </w:r>
            <w:r>
              <w:rPr>
                <w:rFonts w:hint="eastAsia"/>
              </w:rPr>
              <w:t>方向上自动移动，最大行程≥2</w:t>
            </w:r>
            <w:r>
              <w:t>00</w:t>
            </w:r>
            <w:r>
              <w:rPr>
                <w:rFonts w:hint="eastAsia"/>
              </w:rPr>
              <w:t>mm，可进行Mapping测量</w:t>
            </w:r>
          </w:p>
          <w:p>
            <w:pPr>
              <w:widowControl/>
              <w:numPr>
                <w:ilvl w:val="0"/>
                <w:numId w:val="5"/>
              </w:numPr>
              <w:spacing w:line="276" w:lineRule="auto"/>
              <w:jc w:val="left"/>
            </w:pPr>
            <w:r>
              <w:rPr>
                <w:rFonts w:hint="eastAsia" w:ascii="宋体" w:hAnsi="宋体"/>
                <w:b/>
                <w:bCs/>
                <w:color w:val="000000" w:themeColor="text1"/>
                <w:szCs w:val="21"/>
                <w14:textFill>
                  <w14:solidFill>
                    <w14:schemeClr w14:val="tx1"/>
                  </w14:solidFill>
                </w14:textFill>
              </w:rPr>
              <w:t>▲</w:t>
            </w:r>
            <w:r>
              <w:rPr>
                <w:rFonts w:hint="eastAsia"/>
              </w:rPr>
              <w:t>数据采集速率：全光谱，4×4穆勒矩阵数据采集时间小于</w:t>
            </w:r>
            <w:r>
              <w:t>5</w:t>
            </w:r>
            <w:r>
              <w:rPr>
                <w:rFonts w:hint="eastAsia"/>
              </w:rPr>
              <w:t>秒钟</w:t>
            </w:r>
          </w:p>
          <w:p>
            <w:pPr>
              <w:widowControl/>
              <w:numPr>
                <w:ilvl w:val="0"/>
                <w:numId w:val="5"/>
              </w:numPr>
              <w:spacing w:line="276" w:lineRule="auto"/>
              <w:jc w:val="left"/>
            </w:pPr>
            <w:r>
              <w:rPr>
                <w:rFonts w:hint="eastAsia"/>
              </w:rPr>
              <w:t>数据采集及分析软件：基于Windows系统，超作方便，材料库全、色散模型多、功能强</w:t>
            </w:r>
          </w:p>
          <w:p>
            <w:pPr>
              <w:widowControl/>
              <w:numPr>
                <w:ilvl w:val="0"/>
                <w:numId w:val="5"/>
              </w:numPr>
              <w:spacing w:line="276" w:lineRule="auto"/>
              <w:jc w:val="left"/>
            </w:pPr>
            <w:r>
              <w:rPr>
                <w:rFonts w:hint="eastAsia" w:ascii="宋体" w:hAnsi="宋体"/>
                <w:b/>
                <w:bCs/>
                <w:color w:val="000000" w:themeColor="text1"/>
                <w:szCs w:val="21"/>
                <w14:textFill>
                  <w14:solidFill>
                    <w14:schemeClr w14:val="tx1"/>
                  </w14:solidFill>
                </w14:textFill>
              </w:rPr>
              <w:t>▲</w:t>
            </w:r>
            <w:r>
              <w:rPr>
                <w:rFonts w:hint="eastAsia"/>
              </w:rPr>
              <w:t>精度：</w:t>
            </w:r>
            <w:r>
              <w:t>Psi: 45° ± 0.02°</w:t>
            </w:r>
            <w:r>
              <w:rPr>
                <w:rFonts w:hint="eastAsia"/>
              </w:rPr>
              <w:t>，</w:t>
            </w:r>
            <w:r>
              <w:t>Delta: 0° ± 0.05°</w:t>
            </w:r>
            <w:r>
              <w:rPr>
                <w:rFonts w:hint="eastAsia"/>
              </w:rPr>
              <w:t>，</w:t>
            </w:r>
            <w:r>
              <w:t xml:space="preserve">Depolarization: 0% ± 0.5% </w:t>
            </w:r>
          </w:p>
          <w:p>
            <w:pPr>
              <w:widowControl/>
              <w:numPr>
                <w:ilvl w:val="0"/>
                <w:numId w:val="5"/>
              </w:numPr>
              <w:spacing w:line="276" w:lineRule="auto"/>
              <w:jc w:val="left"/>
            </w:pPr>
            <w:r>
              <w:rPr>
                <w:rFonts w:hint="eastAsia"/>
              </w:rPr>
              <w:t xml:space="preserve">重复性：厚度 &lt; </w:t>
            </w:r>
            <w:r>
              <w:t>0.005</w:t>
            </w:r>
            <w:r>
              <w:rPr>
                <w:rFonts w:hint="eastAsia"/>
              </w:rPr>
              <w:t>nm</w:t>
            </w:r>
          </w:p>
          <w:p>
            <w:pPr>
              <w:widowControl/>
              <w:numPr>
                <w:ilvl w:val="0"/>
                <w:numId w:val="5"/>
              </w:numPr>
              <w:spacing w:line="276" w:lineRule="auto"/>
              <w:jc w:val="left"/>
            </w:pPr>
            <w:r>
              <w:rPr>
                <w:rFonts w:hint="eastAsia"/>
              </w:rPr>
              <w:t>工作压强：正常大气压</w:t>
            </w:r>
          </w:p>
          <w:p>
            <w:pPr>
              <w:widowControl/>
              <w:numPr>
                <w:ilvl w:val="0"/>
                <w:numId w:val="5"/>
              </w:numPr>
              <w:spacing w:line="276" w:lineRule="auto"/>
              <w:jc w:val="left"/>
            </w:pPr>
            <w:r>
              <w:rPr>
                <w:rFonts w:hint="eastAsia"/>
              </w:rPr>
              <w:t>氮气消耗量：无</w:t>
            </w:r>
          </w:p>
          <w:p>
            <w:pPr>
              <w:widowControl/>
              <w:spacing w:line="276" w:lineRule="auto"/>
              <w:jc w:val="left"/>
            </w:pPr>
          </w:p>
        </w:tc>
      </w:tr>
    </w:tbl>
    <w:p>
      <w:pPr>
        <w:spacing w:line="300" w:lineRule="exact"/>
        <w:rPr>
          <w:b/>
          <w:bCs/>
          <w:sz w:val="28"/>
        </w:rPr>
      </w:pPr>
      <w:r>
        <w:rPr>
          <w:rFonts w:hint="eastAsia" w:ascii="黑体" w:hAnsi="华文仿宋"/>
          <w:b/>
          <w:bCs/>
          <w:color w:val="0000FF"/>
          <w:szCs w:val="21"/>
        </w:rPr>
        <w:t>注：以上技术指标为参考基本指标，各投标方可根据提供的技术参数要求推荐其他性能或性价比更优的仪器参与投标。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p>
    <w:p>
      <w:pPr>
        <w:spacing w:line="360" w:lineRule="auto"/>
        <w:rPr>
          <w:b/>
          <w:bCs/>
          <w:sz w:val="28"/>
        </w:rPr>
      </w:pPr>
    </w:p>
    <w:p>
      <w:pPr>
        <w:spacing w:line="360" w:lineRule="auto"/>
        <w:rPr>
          <w:rFonts w:ascii="Arial" w:hAnsi="宋体" w:cs="Arial"/>
          <w:sz w:val="24"/>
          <w:szCs w:val="21"/>
        </w:rPr>
      </w:pPr>
      <w:r>
        <w:rPr>
          <w:rFonts w:hint="eastAsia"/>
          <w:b/>
          <w:bCs/>
          <w:sz w:val="28"/>
        </w:rPr>
        <w:t>二、采购要求</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w:t>
      </w:r>
      <w:r>
        <w:rPr>
          <w:rFonts w:ascii="Arial" w:hAnsi="宋体" w:cs="Arial"/>
          <w:sz w:val="24"/>
          <w:szCs w:val="21"/>
        </w:rPr>
        <w:t>1</w:t>
      </w:r>
      <w:r>
        <w:rPr>
          <w:rFonts w:hint="eastAsia" w:ascii="Arial" w:hAnsi="宋体" w:cs="Arial"/>
          <w:sz w:val="24"/>
          <w:szCs w:val="21"/>
        </w:rPr>
        <w:t>份、副本</w:t>
      </w:r>
      <w:r>
        <w:rPr>
          <w:rFonts w:ascii="Arial" w:hAnsi="宋体" w:cs="Arial"/>
          <w:sz w:val="24"/>
          <w:szCs w:val="21"/>
        </w:rPr>
        <w:t>5</w:t>
      </w:r>
      <w:r>
        <w:rPr>
          <w:rFonts w:hint="eastAsia" w:ascii="Arial" w:hAnsi="宋体" w:cs="Arial"/>
          <w:sz w:val="24"/>
          <w:szCs w:val="21"/>
        </w:rPr>
        <w:t>份。</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合同签订：中标供应商接到中标通知后，持中标通知书与嘉庚创新实验室资产采购管理室处签订合同。投标文件、中标供应商的投标文件及其澄清文件均作为签订技术和服务协议、合同订立的基础。</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highlight w:val="none"/>
        </w:rPr>
      </w:pPr>
      <w:r>
        <w:rPr>
          <w:rFonts w:hint="eastAsia"/>
          <w:color w:val="000000"/>
          <w:sz w:val="24"/>
          <w:highlight w:val="none"/>
        </w:rPr>
        <w:t>从中华人民共和国境内提供的货物：合同签订后支付30%的预付款，设备发货前预验收合格后支付30%，设备到达用户指定地点安装、调试验收合格后支付尾款40%。</w:t>
      </w:r>
    </w:p>
    <w:p>
      <w:pPr>
        <w:tabs>
          <w:tab w:val="left" w:pos="0"/>
          <w:tab w:val="left" w:pos="540"/>
        </w:tabs>
        <w:spacing w:line="360" w:lineRule="auto"/>
        <w:ind w:firstLine="480" w:firstLineChars="200"/>
        <w:rPr>
          <w:rFonts w:ascii="Arial" w:hAnsi="宋体" w:cs="Arial"/>
          <w:sz w:val="24"/>
          <w:szCs w:val="21"/>
          <w:highlight w:val="none"/>
        </w:rPr>
      </w:pPr>
      <w:r>
        <w:rPr>
          <w:rFonts w:hint="eastAsia"/>
          <w:sz w:val="24"/>
          <w:highlight w:val="none"/>
        </w:rPr>
        <w:t>从中华人民共和国境外提供的货物：</w:t>
      </w:r>
      <w:r>
        <w:rPr>
          <w:rFonts w:hint="eastAsia"/>
          <w:color w:val="000000"/>
          <w:sz w:val="24"/>
          <w:highlight w:val="none"/>
        </w:rPr>
        <w:t>100%不可撤销信用证，30%见单即付，70%验收合格后付。</w:t>
      </w:r>
    </w:p>
    <w:p>
      <w:pPr>
        <w:numPr>
          <w:ilvl w:val="0"/>
          <w:numId w:val="6"/>
        </w:numPr>
        <w:tabs>
          <w:tab w:val="left" w:pos="0"/>
          <w:tab w:val="left" w:pos="360"/>
          <w:tab w:val="left" w:pos="540"/>
          <w:tab w:val="clear" w:pos="780"/>
        </w:tabs>
        <w:spacing w:line="360" w:lineRule="auto"/>
        <w:ind w:left="0" w:firstLine="0"/>
        <w:rPr>
          <w:sz w:val="24"/>
        </w:rPr>
      </w:pPr>
      <w:r>
        <w:rPr>
          <w:rFonts w:hint="eastAsia"/>
          <w:sz w:val="24"/>
        </w:rPr>
        <w:t>★投标文件不允许活页装订，否则将视为无效投标。</w:t>
      </w:r>
    </w:p>
    <w:p>
      <w:pPr>
        <w:tabs>
          <w:tab w:val="left" w:pos="0"/>
          <w:tab w:val="left" w:pos="540"/>
        </w:tabs>
        <w:spacing w:line="360" w:lineRule="auto"/>
        <w:rPr>
          <w:rFonts w:ascii="Arial" w:hAnsi="宋体" w:cs="Arial"/>
          <w:sz w:val="24"/>
          <w:szCs w:val="21"/>
        </w:rPr>
      </w:pPr>
    </w:p>
    <w:p>
      <w:pPr>
        <w:spacing w:line="360" w:lineRule="auto"/>
        <w:rPr>
          <w:b/>
          <w:bCs/>
          <w:sz w:val="28"/>
        </w:rPr>
      </w:pPr>
      <w:r>
        <w:rPr>
          <w:rFonts w:hint="eastAsia"/>
          <w:b/>
          <w:bCs/>
          <w:sz w:val="28"/>
        </w:rPr>
        <w:t>三、报价要求</w:t>
      </w:r>
    </w:p>
    <w:p>
      <w:pPr>
        <w:pStyle w:val="19"/>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19"/>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、保修期：在采购文件上必须对保修期做出承诺。保修期至少壹年（招标参数中有明确保修年限要求的按具体要求保修）。保修期自用户验收小组验收合格交付使用之日算起。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tabs>
          <w:tab w:val="left" w:pos="525"/>
          <w:tab w:val="left" w:pos="735"/>
        </w:tabs>
        <w:spacing w:line="360" w:lineRule="auto"/>
        <w:rPr>
          <w:b/>
          <w:color w:val="000000"/>
          <w:sz w:val="28"/>
        </w:rPr>
      </w:pPr>
      <w:r>
        <w:rPr>
          <w:rFonts w:hint="eastAsia"/>
          <w:b/>
          <w:color w:val="000000"/>
          <w:sz w:val="28"/>
        </w:rPr>
        <w:t>六．中标服务费</w:t>
      </w:r>
    </w:p>
    <w:p>
      <w:pPr>
        <w:tabs>
          <w:tab w:val="left" w:pos="525"/>
          <w:tab w:val="left" w:pos="735"/>
        </w:tabs>
        <w:spacing w:line="360" w:lineRule="auto"/>
        <w:ind w:firstLine="480" w:firstLineChars="200"/>
        <w:rPr>
          <w:color w:val="FF0000"/>
          <w:sz w:val="24"/>
        </w:rPr>
      </w:pPr>
      <w:r>
        <w:rPr>
          <w:rFonts w:hint="eastAsia"/>
          <w:color w:val="FF0000"/>
          <w:sz w:val="24"/>
        </w:rPr>
        <w:t>中标人须向招标人交纳合同总金额的1.0%作为中标服务费，中标服务费在合同签订后的10天内汇入以下帐号：嘉庚创新实验室 4100021709224906028 工行厦门厦大支行。</w:t>
      </w:r>
    </w:p>
    <w:p>
      <w:pPr>
        <w:tabs>
          <w:tab w:val="left" w:pos="540"/>
        </w:tabs>
        <w:spacing w:line="360" w:lineRule="auto"/>
        <w:rPr>
          <w:rFonts w:ascii="Arial" w:hAnsi="宋体" w:cs="Arial"/>
          <w:sz w:val="24"/>
          <w:szCs w:val="21"/>
        </w:rPr>
      </w:pPr>
    </w:p>
    <w:p>
      <w:pPr>
        <w:jc w:val="center"/>
        <w:rPr>
          <w:b/>
          <w:bCs/>
          <w:color w:val="000000"/>
          <w:sz w:val="32"/>
          <w:szCs w:val="32"/>
        </w:rPr>
      </w:pPr>
    </w:p>
    <w:p>
      <w:pPr>
        <w:jc w:val="center"/>
        <w:rPr>
          <w:b/>
          <w:bCs/>
          <w:color w:val="000000"/>
          <w:sz w:val="32"/>
          <w:szCs w:val="32"/>
        </w:rPr>
      </w:pPr>
    </w:p>
    <w:p>
      <w:pPr>
        <w:jc w:val="center"/>
        <w:rPr>
          <w:b/>
          <w:bCs/>
          <w:color w:val="000000"/>
          <w:sz w:val="32"/>
          <w:szCs w:val="32"/>
        </w:rPr>
      </w:pPr>
    </w:p>
    <w:p>
      <w:pPr>
        <w:jc w:val="center"/>
        <w:rPr>
          <w:b/>
          <w:bCs/>
          <w:color w:val="000000"/>
          <w:sz w:val="32"/>
          <w:szCs w:val="32"/>
        </w:rPr>
      </w:pPr>
    </w:p>
    <w:p>
      <w:pPr>
        <w:jc w:val="center"/>
        <w:rPr>
          <w:b/>
          <w:bCs/>
          <w:color w:val="000000"/>
          <w:sz w:val="32"/>
          <w:szCs w:val="32"/>
        </w:rPr>
      </w:pPr>
    </w:p>
    <w:p>
      <w:pPr>
        <w:jc w:val="center"/>
        <w:rPr>
          <w:b/>
          <w:bCs/>
          <w:color w:val="000000"/>
          <w:sz w:val="32"/>
          <w:szCs w:val="32"/>
        </w:rPr>
      </w:pPr>
    </w:p>
    <w:p>
      <w:pPr>
        <w:jc w:val="center"/>
        <w:rPr>
          <w:b/>
          <w:bCs/>
          <w:color w:val="000000"/>
          <w:sz w:val="32"/>
          <w:szCs w:val="32"/>
        </w:rPr>
      </w:pPr>
    </w:p>
    <w:p>
      <w:pPr>
        <w:jc w:val="both"/>
        <w:rPr>
          <w:b/>
          <w:bCs/>
          <w:color w:val="000000"/>
          <w:sz w:val="32"/>
          <w:szCs w:val="32"/>
        </w:rPr>
      </w:pPr>
    </w:p>
    <w:p>
      <w:pPr>
        <w:jc w:val="center"/>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“成交供应商”指经谈判小组审查通过，资产采购管理室向其发出《成交通知书》并授予其成交合同的磋商供应商。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18"/>
        <w:widowControl w:val="0"/>
        <w:numPr>
          <w:ilvl w:val="0"/>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18"/>
        <w:widowControl w:val="0"/>
        <w:numPr>
          <w:ilvl w:val="0"/>
          <w:numId w:val="7"/>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18"/>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18"/>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18"/>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18"/>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18"/>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18"/>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18"/>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18"/>
        <w:widowControl w:val="0"/>
        <w:numPr>
          <w:ilvl w:val="0"/>
          <w:numId w:val="7"/>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18"/>
        <w:widowControl w:val="0"/>
        <w:numPr>
          <w:ilvl w:val="0"/>
          <w:numId w:val="7"/>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18"/>
        <w:widowControl w:val="0"/>
        <w:numPr>
          <w:ilvl w:val="1"/>
          <w:numId w:val="7"/>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18"/>
        <w:widowControl w:val="0"/>
        <w:numPr>
          <w:ilvl w:val="0"/>
          <w:numId w:val="7"/>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采购人也可授权谈判小组按本条规定直接确定成交人。</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18"/>
        <w:widowControl w:val="0"/>
        <w:numPr>
          <w:ilvl w:val="0"/>
          <w:numId w:val="7"/>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18"/>
        <w:widowControl w:val="0"/>
        <w:numPr>
          <w:ilvl w:val="0"/>
          <w:numId w:val="7"/>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18"/>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18"/>
        <w:widowControl w:val="0"/>
        <w:numPr>
          <w:ilvl w:val="0"/>
          <w:numId w:val="7"/>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18"/>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10"/>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10"/>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18"/>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18"/>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18"/>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
          <w:bCs/>
          <w:color w:val="000000"/>
          <w:sz w:val="32"/>
          <w:szCs w:val="32"/>
        </w:rPr>
      </w:pPr>
      <w:r>
        <w:rPr>
          <w:b/>
          <w:bCs/>
          <w:color w:val="000000"/>
          <w:sz w:val="32"/>
          <w:szCs w:val="32"/>
        </w:rPr>
        <w:br w:type="page"/>
      </w:r>
      <w:r>
        <w:rPr>
          <w:rFonts w:hint="eastAsia"/>
          <w:b/>
          <w:bCs/>
          <w:color w:val="000000"/>
          <w:sz w:val="32"/>
          <w:szCs w:val="32"/>
        </w:rPr>
        <w:t xml:space="preserve">                 第五章、谈判文件格式</w:t>
      </w:r>
    </w:p>
    <w:p>
      <w:pPr>
        <w:spacing w:line="360" w:lineRule="auto"/>
        <w:rPr>
          <w:rFonts w:ascii="宋体"/>
          <w:sz w:val="24"/>
        </w:rPr>
      </w:pPr>
    </w:p>
    <w:p>
      <w:pPr>
        <w:spacing w:line="360" w:lineRule="auto"/>
        <w:ind w:firstLine="3219" w:firstLineChars="1073"/>
        <w:rPr>
          <w:rFonts w:ascii="宋体"/>
          <w:sz w:val="30"/>
        </w:rPr>
      </w:pPr>
      <w:r>
        <w:rPr>
          <w:rFonts w:hint="eastAsia" w:ascii="宋体" w:hAnsi="宋体"/>
          <w:sz w:val="30"/>
        </w:rPr>
        <w:t>格式</w:t>
      </w:r>
      <w:r>
        <w:rPr>
          <w:rFonts w:ascii="宋体" w:hAnsi="宋体"/>
          <w:sz w:val="30"/>
        </w:rPr>
        <w:t xml:space="preserve">1     </w:t>
      </w:r>
      <w:r>
        <w:rPr>
          <w:rFonts w:hint="eastAsia" w:ascii="宋体" w:hAnsi="宋体"/>
          <w:sz w:val="30"/>
        </w:rPr>
        <w:t>报价书</w:t>
      </w:r>
    </w:p>
    <w:p>
      <w:pPr>
        <w:spacing w:line="360" w:lineRule="auto"/>
        <w:rPr>
          <w:rFonts w:ascii="宋体"/>
          <w:u w:val="single"/>
        </w:rPr>
      </w:pPr>
      <w:r>
        <w:rPr>
          <w:rFonts w:hint="eastAsia" w:ascii="宋体" w:hAnsi="宋体"/>
        </w:rPr>
        <w:t>致</w:t>
      </w:r>
      <w:r>
        <w:rPr>
          <w:rFonts w:hint="eastAsia" w:ascii="宋体" w:hAnsi="宋体"/>
          <w:u w:val="single"/>
        </w:rPr>
        <w:t>嘉庚创新实验室资产采购管理室</w:t>
      </w:r>
    </w:p>
    <w:p>
      <w:pPr>
        <w:spacing w:line="360" w:lineRule="auto"/>
        <w:ind w:firstLine="546" w:firstLineChars="260"/>
        <w:rPr>
          <w:rFonts w:ascii="宋体"/>
        </w:rPr>
      </w:pPr>
      <w:r>
        <w:rPr>
          <w:rFonts w:hint="eastAsia" w:ascii="宋体" w:hAnsi="宋体"/>
        </w:rPr>
        <w:t>根据贵方为（采购编号）招标项目及服务的投标邀请，投标代表（全名、职务），经正式授权并代表投标人（投标人名称）按采购文件规定提交报价文件正本</w:t>
      </w:r>
      <w:r>
        <w:rPr>
          <w:rFonts w:ascii="宋体" w:hAnsi="宋体"/>
        </w:rPr>
        <w:t>1</w:t>
      </w:r>
      <w:r>
        <w:rPr>
          <w:rFonts w:hint="eastAsia" w:ascii="宋体" w:hAnsi="宋体"/>
        </w:rPr>
        <w:t>份和副本</w:t>
      </w:r>
      <w:r>
        <w:rPr>
          <w:rFonts w:ascii="宋体" w:hAnsi="宋体"/>
        </w:rPr>
        <w:t>5</w:t>
      </w:r>
      <w:r>
        <w:rPr>
          <w:rFonts w:hint="eastAsia" w:ascii="宋体" w:hAnsi="宋体"/>
        </w:rPr>
        <w:t>份。</w:t>
      </w:r>
    </w:p>
    <w:p>
      <w:pPr>
        <w:spacing w:line="360" w:lineRule="auto"/>
        <w:rPr>
          <w:rFonts w:ascii="宋体"/>
        </w:rPr>
      </w:pPr>
      <w:r>
        <w:rPr>
          <w:rFonts w:ascii="宋体" w:hAnsi="宋体"/>
        </w:rPr>
        <w:fldChar w:fldCharType="begin"/>
      </w:r>
      <w:r>
        <w:rPr>
          <w:rFonts w:ascii="宋体" w:hAnsi="宋体"/>
        </w:rPr>
        <w:instrText xml:space="preserve"> = 1 \* GB2 </w:instrText>
      </w:r>
      <w:r>
        <w:rPr>
          <w:rFonts w:ascii="宋体" w:hAnsi="宋体"/>
        </w:rPr>
        <w:fldChar w:fldCharType="separate"/>
      </w:r>
      <w:r>
        <w:rPr>
          <w:rFonts w:hint="eastAsia" w:ascii="宋体" w:hAnsi="宋体"/>
        </w:rPr>
        <w:t>⑴</w:t>
      </w:r>
      <w:r>
        <w:rPr>
          <w:rFonts w:ascii="宋体" w:hAnsi="宋体"/>
        </w:rPr>
        <w:fldChar w:fldCharType="end"/>
      </w:r>
      <w:r>
        <w:rPr>
          <w:rFonts w:hint="eastAsia" w:ascii="宋体" w:hAnsi="宋体"/>
        </w:rPr>
        <w:t>报价书、报价一览表、系统配置清单及报价价格一览表。</w:t>
      </w:r>
    </w:p>
    <w:p>
      <w:pPr>
        <w:spacing w:line="360" w:lineRule="auto"/>
        <w:ind w:firstLine="420" w:firstLineChars="200"/>
        <w:rPr>
          <w:rFonts w:ascii="宋体"/>
        </w:rPr>
      </w:pPr>
      <w:r>
        <w:rPr>
          <w:rFonts w:ascii="宋体" w:hAnsi="宋体"/>
        </w:rPr>
        <w:fldChar w:fldCharType="begin"/>
      </w:r>
      <w:r>
        <w:rPr>
          <w:rFonts w:ascii="宋体" w:hAnsi="宋体"/>
        </w:rPr>
        <w:instrText xml:space="preserve"> = 2 \* GB2 </w:instrText>
      </w:r>
      <w:r>
        <w:rPr>
          <w:rFonts w:ascii="宋体" w:hAnsi="宋体"/>
        </w:rPr>
        <w:fldChar w:fldCharType="separate"/>
      </w:r>
      <w:r>
        <w:rPr>
          <w:rFonts w:hint="eastAsia" w:ascii="宋体" w:hAnsi="宋体"/>
        </w:rPr>
        <w:t>⑵</w:t>
      </w:r>
      <w:r>
        <w:rPr>
          <w:rFonts w:ascii="宋体" w:hAnsi="宋体"/>
        </w:rPr>
        <w:fldChar w:fldCharType="end"/>
      </w:r>
      <w:r>
        <w:rPr>
          <w:rFonts w:hint="eastAsia" w:ascii="宋体" w:hAnsi="宋体"/>
        </w:rPr>
        <w:t>资格证明文件</w:t>
      </w:r>
    </w:p>
    <w:p>
      <w:pPr>
        <w:spacing w:line="360" w:lineRule="auto"/>
        <w:ind w:firstLine="420" w:firstLineChars="200"/>
        <w:rPr>
          <w:rFonts w:ascii="宋体"/>
        </w:rPr>
      </w:pPr>
      <w:r>
        <w:rPr>
          <w:rFonts w:ascii="宋体" w:hAnsi="宋体"/>
        </w:rPr>
        <w:fldChar w:fldCharType="begin"/>
      </w:r>
      <w:r>
        <w:rPr>
          <w:rFonts w:ascii="宋体" w:hAnsi="宋体"/>
        </w:rPr>
        <w:instrText xml:space="preserve"> = 3 \* GB2 </w:instrText>
      </w:r>
      <w:r>
        <w:rPr>
          <w:rFonts w:ascii="宋体" w:hAnsi="宋体"/>
        </w:rPr>
        <w:fldChar w:fldCharType="separate"/>
      </w:r>
      <w:r>
        <w:rPr>
          <w:rFonts w:hint="eastAsia" w:ascii="宋体" w:hAnsi="宋体"/>
        </w:rPr>
        <w:t>⑶</w:t>
      </w:r>
      <w:r>
        <w:rPr>
          <w:rFonts w:ascii="宋体" w:hAnsi="宋体"/>
        </w:rPr>
        <w:fldChar w:fldCharType="end"/>
      </w:r>
      <w:r>
        <w:rPr>
          <w:rFonts w:hint="eastAsia" w:ascii="宋体" w:hAnsi="宋体"/>
        </w:rPr>
        <w:t>按投标人须知要求提供的全部文件</w:t>
      </w:r>
    </w:p>
    <w:p>
      <w:pPr>
        <w:spacing w:line="360" w:lineRule="auto"/>
        <w:rPr>
          <w:rFonts w:ascii="宋体"/>
        </w:rPr>
      </w:pPr>
      <w:r>
        <w:rPr>
          <w:rFonts w:hint="eastAsia" w:ascii="宋体" w:hAnsi="宋体"/>
        </w:rPr>
        <w:t>据此函，投标人同意遵守如下条款：</w:t>
      </w:r>
    </w:p>
    <w:p>
      <w:pPr>
        <w:spacing w:line="360" w:lineRule="auto"/>
        <w:rPr>
          <w:rFonts w:ascii="宋体"/>
        </w:rPr>
      </w:pPr>
      <w:r>
        <w:rPr>
          <w:rFonts w:ascii="宋体" w:hAnsi="宋体"/>
        </w:rPr>
        <w:t>1</w:t>
      </w:r>
      <w:r>
        <w:rPr>
          <w:rFonts w:hint="eastAsia" w:ascii="宋体" w:hAnsi="宋体"/>
        </w:rPr>
        <w:t>、投标人将按采购文件规定履行合同责任和义务。</w:t>
      </w:r>
    </w:p>
    <w:p>
      <w:pPr>
        <w:spacing w:line="360" w:lineRule="auto"/>
        <w:rPr>
          <w:rFonts w:ascii="宋体"/>
        </w:rPr>
      </w:pPr>
      <w:r>
        <w:rPr>
          <w:rFonts w:ascii="宋体" w:hAnsi="宋体"/>
        </w:rPr>
        <w:t>2</w:t>
      </w:r>
      <w:r>
        <w:rPr>
          <w:rFonts w:hint="eastAsia" w:ascii="宋体" w:hAnsi="宋体"/>
        </w:rPr>
        <w:t>、投标人已详细审查全部采购文件，包括修改文件（如有的话）以及全部参考资料和相关附件。我们完全理解并同意放弃对这方面有不明及误解的权利。</w:t>
      </w:r>
    </w:p>
    <w:p>
      <w:pPr>
        <w:spacing w:line="360" w:lineRule="auto"/>
        <w:rPr>
          <w:rFonts w:ascii="宋体"/>
        </w:rPr>
      </w:pPr>
      <w:r>
        <w:rPr>
          <w:rFonts w:ascii="宋体" w:hAnsi="宋体"/>
        </w:rPr>
        <w:t>3</w:t>
      </w:r>
      <w:r>
        <w:rPr>
          <w:rFonts w:hint="eastAsia" w:ascii="宋体" w:hAnsi="宋体"/>
        </w:rPr>
        <w:t>、投标自开标之日起有效期为</w:t>
      </w:r>
      <w:r>
        <w:rPr>
          <w:rFonts w:ascii="宋体" w:hAnsi="宋体"/>
        </w:rPr>
        <w:t>90</w:t>
      </w:r>
      <w:r>
        <w:rPr>
          <w:rFonts w:hint="eastAsia" w:ascii="宋体" w:hAnsi="宋体"/>
        </w:rPr>
        <w:t>个日历日。</w:t>
      </w:r>
    </w:p>
    <w:p>
      <w:pPr>
        <w:spacing w:line="360" w:lineRule="auto"/>
        <w:rPr>
          <w:rFonts w:ascii="宋体"/>
        </w:rPr>
      </w:pPr>
      <w:r>
        <w:rPr>
          <w:rFonts w:ascii="宋体" w:hAnsi="宋体"/>
        </w:rPr>
        <w:t>4</w:t>
      </w:r>
      <w:r>
        <w:rPr>
          <w:rFonts w:hint="eastAsia" w:ascii="宋体" w:hAnsi="宋体"/>
        </w:rPr>
        <w:t>、投标人同意提供按照招标人可能要求的与投标有关的一切数据或资料，完全理解招标人不一定要接受最低价的投标或收到的任何投标。</w:t>
      </w:r>
    </w:p>
    <w:p>
      <w:pPr>
        <w:spacing w:line="360" w:lineRule="auto"/>
        <w:rPr>
          <w:rFonts w:ascii="宋体"/>
        </w:rPr>
      </w:pPr>
      <w:r>
        <w:rPr>
          <w:rFonts w:ascii="宋体" w:hAnsi="宋体"/>
        </w:rPr>
        <w:t>5</w:t>
      </w:r>
      <w:r>
        <w:rPr>
          <w:rFonts w:hint="eastAsia" w:ascii="宋体" w:hAnsi="宋体"/>
        </w:rPr>
        <w:t>、与采购有关的一切正式往来通讯，请寄：</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3120"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3120;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DSCDr5xgEAAF4DAAAOAAAAZHJzL2Uyb0RvYy54bWytU82O&#10;EzEMviPxDlHudNquimDU6R66Wi4LVNrlAdwkMxORxFGSdtqX4AWQuMGJI3feZpfHwEl/gOWGmIM1&#10;ju3P/j4n88udNWyrQtToGj4ZjTlTTqDUrmv4u7vrZy84iwmcBINONXyvIr9cPH0yH3ytptijkSow&#10;AnGxHnzD+5R8XVVR9MpCHKFXjoItBguJ3NBVMsBA6NZU0/H4eTVgkD6gUDHS6dUhyBcFv22VSG/b&#10;NqrETMNptlRsKHadbbWYQ90F8L0WxzHgH6awoB01PUNdQQK2CfovKKtFwIhtGgm0FbatFqpwIDaT&#10;8SM2tz14VbiQONGfZYr/D1a82a4C05J2R/I4sLSjh4/f7j98/vH9E9mHr18YRUimwceaspduFTJR&#10;sXO3/gbF+8gcLntwnSrj3u09QUxyRfVHSXaip2br4TVKyoFNwqLZrg02Q5IabFdWsz+vRu0SE3Q4&#10;mV1czKYzzsQpVkF9KvQhplcKLcs/DTfaZdWghu1NTHkQqE8p+djhtTambN44NjT8ZUbOkYhGyxws&#10;TujWSxPYFvLdKV9h9Sgt4MbJQxPjjqQzz4Nia5T7VTiJQUss0xwvXL4lv/ul+tez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Tg8dtcAAAAJAQAADwAAAAAAAAABACAAAAAiAAAAZHJzL2Rvd25y&#10;ZXYueG1sUEsBAhQAFAAAAAgAh07iQNIIOvnGAQAAXgMAAA4AAAAAAAAAAQAgAAAAJgEAAGRycy9l&#10;Mm9Eb2MueG1sUEsFBgAAAAAGAAYAWQEAAF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54144;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FOCB8UBAABcAwAADgAAAGRycy9lMm9Eb2MueG1srVPNjhMx&#10;DL4j8Q5R7nTarorYUad76Gq5LFBplwdwk8xMRBJHTtppX4IXQOIGJ47ceRuWxyBJf4DlhpiDNY7t&#10;z/4+J/OrnTVsqyhodA2fjMacKSdQatc1/O39zbMXnIUIToJBpxq+V4FfLZ4+mQ++VlPs0UhFLIG4&#10;UA++4X2Mvq6qIHplIYzQK5eCLZKFmFzqKkkwJHRrqul4/LwakKQnFCqEdHp9CPJFwW9bJeKbtg0q&#10;MtPwNFsslopdZ1st5lB3BL7X4jgG/MMUFrRLTc9Q1xCBbUj/BWW1IAzYxpFAW2HbaqEKh8RmMn7E&#10;5q4HrwqXJE7wZ5nC/4MVr7crYlo2/JIzBzat6OHD1+/vP/349jHZhy+f2WUWafChTrlLt6JMU+zc&#10;nb9F8S4wh8seXKfKsPd7nxAmuaL6oyQ7wadW6+EVypQDm4hFsV1LNkMmLdiuLGZ/XozaRSbS4WR2&#10;cTGbzjgTp1gF9anQU4gvFVqWfxputMuaQQ3b2xDzIFCfUvKxwxttTNm7cWxIxDNyjgQ0WuZgcahb&#10;Lw2xLeSbU77C6lEa4cbJQxPjjqQzz4Nia5T7FZ3ESCss0xyvW74jv/ul+tej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6m4NtUAAAAJAQAADwAAAAAAAAABACAAAAAiAAAAZHJzL2Rvd25yZXYu&#10;eG1sUEsBAhQAFAAAAAgAh07iQPhTggfFAQAAXAMAAA4AAAAAAAAAAQAgAAAAJAEAAGRycy9lMm9E&#10;b2MueG1sUEsFBgAAAAAGAAYAWQEAAFsFAAAAAA==&#10;">
                <v:fill on="f" focussize="0,0"/>
                <v:stroke color="#000000" joinstyle="round"/>
                <v:imagedata o:title=""/>
                <o:lock v:ext="edit" aspectratio="f"/>
              </v:line>
            </w:pict>
          </mc:Fallback>
        </mc:AlternateContent>
      </w:r>
      <w:r>
        <w:rPr>
          <w:rFonts w:hint="eastAsia" w:ascii="宋体" w:hAnsi="宋体"/>
        </w:rPr>
        <w:t>地址：邮编：</w:t>
      </w:r>
    </w:p>
    <w:p>
      <w:pPr>
        <w:spacing w:line="360" w:lineRule="auto"/>
        <w:rPr>
          <w:rFonts w:ascii="宋体"/>
        </w:rPr>
      </w:pPr>
      <w:r>
        <mc:AlternateContent>
          <mc:Choice Requires="wps">
            <w:drawing>
              <wp:anchor distT="0" distB="0" distL="114300" distR="114300" simplePos="0" relativeHeight="251655168"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55168;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IsorNLFAQAAXAMAAA4AAABkcnMvZTJvRG9jLnhtbK1TzY4T&#10;MQy+I/EOUe502q6KllGne+hquSxQaZcHcJPMTEQSR07aaV+CF0DiBieO3HkblscgSX+A5YaYgzWO&#10;7c/+Pifzq501bKsoaHQNn4zGnCknUGrXNfzt/c2zS85CBCfBoFMN36vArxZPn8wHX6sp9mikIpZA&#10;XKgH3/A+Rl9XVRC9shBG6JVLwRbJQkwudZUkGBK6NdV0PH5eDUjSEwoVQjq9PgT5ouC3rRLxTdsG&#10;FZlpeJotFkvFrrOtFnOoOwLfa3EcA/5hCgvapaZnqGuIwDak/4KyWhAGbONIoK2wbbVQhUNiMxk/&#10;YnPXg1eFSxIn+LNM4f/BitfbFTEtG54W5cCmFT18+Pr9/acf3z4m+/DlM7vMIg0+1Cl36VaUaYqd&#10;u/O3KN4F5nDZg+tUGfZ+7xPCJFdUf5RkJ/jUaj28QplyYBOxKLZryWbIpAXblcXsz4tRu8hEOpzM&#10;Li5m0xln4hSroD4VegrxpULL8k/DjXZZM6hhextiHgTqU0o+dnijjSl7N44NDX+RkXMkoNEyB4tD&#10;3XppiG0h35zyFVaP0gg3Th6aGHcknXkeFFuj3K/oJEZaYZnmeN3yHfndL9W/HsX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28sLTWAAAACQEAAA8AAAAAAAAAAQAgAAAAIgAAAGRycy9kb3ducmV2&#10;LnhtbFBLAQIUABQAAAAIAIdO4kCLKKzSxQEAAFwDAAAOAAAAAAAAAAEAIAAAACUBAABkcnMvZTJv&#10;RG9jLnhtbFBLBQYAAAAABgAGAFkBAABc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56192;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MyGMovGAQAAXAMAAA4AAABkcnMvZTJvRG9jLnhtbK1TzW4T&#10;MRC+I/EOlu/ESapQusqmh1TlUiBS2weY2N5dC9tj2U528xK8ABI3OHHk3rehPAa28wOUG2IPox3P&#10;zDfzfWPPLwejyVb6oNDWdDIaUyItR6FsW9P7u+sXrygJEawAjVbWdCcDvVw8fzbvXSWn2KEW0pME&#10;YkPVu5p2MbqKscA7aSCM0Embgg16AzG5vmXCQ5/QjWbT8fgl69EL55HLENLp1T5IFwW/aSSP75om&#10;yEh0TdNssVhf7DpbtphD1XpwneKHMeAfpjCgbGp6grqCCGTj1V9QRnGPAZs44mgYNo3isnBIbCbj&#10;J2xuO3CycEniBHeSKfw/WP52u/JEiZqeU2LBpBU9fvz2/cPnHw+fkn38+oWcZ5F6F6qUu7Qrn2ny&#10;wd66G+TvA7G47MC2sgx7t3MJYZIr2B8l2QkutVr3b1CkHNhELIoNjTcZMmlBhrKY3WkxcoiEp8PJ&#10;7OxsNp1Rwo8xBtWx0PkQX0s0JP/UVCubNYMKtjch5kGgOqbkY4vXSuuyd21JX9OLjJwjAbUSOVgc&#10;366X2pMt5JtTvsLqSZrHjRX7JtoeSGeee8XWKHYrfxQjrbBMc7hu+Y787pfqX4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8NEWK1gAAAAkBAAAPAAAAAAAAAAEAIAAAACIAAABkcnMvZG93bnJl&#10;di54bWxQSwECFAAUAAAACACHTuJAzIYyi8YBAABcAwAADgAAAAAAAAABACAAAAAlAQAAZHJzL2Uy&#10;b0RvYy54bWxQSwUGAAAAAAYABgBZAQAAXQUAAAAA&#10;">
                <v:fill on="f" focussize="0,0"/>
                <v:stroke color="#000000" joinstyle="round"/>
                <v:imagedata o:title=""/>
                <o:lock v:ext="edit" aspectratio="f"/>
              </v:line>
            </w:pict>
          </mc:Fallback>
        </mc:AlternateContent>
      </w:r>
      <w:r>
        <w:rPr>
          <w:rFonts w:hint="eastAsia" w:ascii="宋体" w:hAnsi="宋体"/>
        </w:rPr>
        <w:t>电话：传真：</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7216"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rPJwLdQBAABpAwAADgAAAGRycy9lMm9Eb2MueG1srVPB&#10;bhMxEL0j8Q+W72R3UyWkq2x6SFUuBSK15e7Y3l0L22PZTjb5CX4AiRucOPbO31A+g7ET0gI3xB5G&#10;O56Z53lvxvOLndFkK31QYBtajUpKpOUglO0aend79WJGSYjMCqbByobuZaAXi+fP5oOr5Rh60EJ6&#10;giA21INraB+jq4si8F4aFkbgpMVgC96wiK7vCuHZgOhGF+OynBYDeOE8cBkCnl4egnSR8dtW8vi2&#10;bYOMRDcUe4vZ+mzXyRaLOas7z1yv+LEN9g9dGKYsXnqCumSRkY1Xf0EZxT0EaOOIgymgbRWXmQOy&#10;qco/2Nz0zMnMBcUJ7iRT+H+w/M125YkSDZ1SYpnBET18vP/+4fOPb5/QPnz9QqZJpMGFGnOXduUT&#10;Tb6zN+4a+PtALCx7ZjuZm73dO0SoUkXxW0lygsOr1sNrEJjDNhGyYrvWG9Jq5d6lwgSOqpBdHtH+&#10;NCK5i4Tj4VlVTl7OJpRwjJ3NqjzBgtUJJdU6H+IrCYakn4ZqZZOArGbb6xBTV48p6djCldI6L4G2&#10;ZGjo+WQ8yQUBtBIpmNKC79ZL7cmWpTXKX6aIkadpHjZWHC7R9qhAIn2Qbw1iv/K/lMF55m6Ou5cW&#10;5qmfqx9fy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5kdodgAAAAJAQAADwAAAAAAAAABACAA&#10;AAAiAAAAZHJzL2Rvd25yZXYueG1sUEsBAhQAFAAAAAgAh07iQKzycC3UAQAAaQMAAA4AAAAAAAAA&#10;AQAgAAAAJwEAAGRycy9lMm9Eb2MueG1sUEsFBgAAAAAGAAYAWQEAAG0FAAAAAA==&#10;">
                <v:fill on="f" focussize="0,0"/>
                <v:stroke color="#000000" joinstyle="round"/>
                <v:imagedata o:title=""/>
                <o:lock v:ext="edit" aspectratio="f"/>
              </v:line>
            </w:pict>
          </mc:Fallback>
        </mc:AlternateContent>
      </w:r>
      <w:r>
        <w:rPr>
          <w:rFonts w:hint="eastAsia" w:ascii="宋体" w:hAnsi="宋体"/>
        </w:rPr>
        <w:t>投标代表姓名，职务</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8240"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YjS1s1AEAAGkDAAAOAAAAZHJzL2Uyb0RvYy54bWytU81u&#10;EzEQviPxDpbvZHdTLYRVNj2kKpcCkVp6d/yza+H1WLaTTV6CF0DiBieO3HkbymN07IS0wA2Rwyj2&#10;zHz+vm9m5+e7wZCt9EGDbWk1KSmRloPQtmvpu5vLZzNKQmRWMANWtnQvAz1fPH0yH10jp9CDEdIT&#10;BLGhGV1L+xhdUxSB93JgYQJOWkwq8AOLePRdITwbEX0wxbQsnxcjeOE8cBkC3l4cknSR8ZWSPL5V&#10;KshITEuRW8zR57hOsVjMWdN55nrNjzTYP7AYmLb46AnqgkVGNl7/BTVo7iGAihMOQwFKaS6zBlRT&#10;lX+oue6Zk1kLmhPcyabw/2D5m+3KEy1aWlNi2YAjuvv47ceHzz+/f8J49/ULqZNJowsN1i7tyieZ&#10;fGev3RXw94FYWPbMdjKTvdk7RKhSR/FbSzoEh0+tx9cgsIZtImTHdsoPRBntblNjAkdXyC6PaH8a&#10;kdxFwvHyrCrrFzPkyjF3NqvyBAvWJJTU63yIryQMJP1pqdE2Gcgatr0KMbF6KEnXFi61MXkJjCVj&#10;S1/W0zo3BDBapGQqC75bL40nW5bWKP+yRMw8LvOwseLwiLFHB5Log31rEPuV/+UMzjOzOe5eWpjH&#10;59z98IUs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yhd31wAAAAkBAAAPAAAAAAAAAAEAIAAA&#10;ACIAAABkcnMvZG93bnJldi54bWxQSwECFAAUAAAACACHTuJAGI0tbNQBAABpAwAADgAAAAAAAAAB&#10;ACAAAAAmAQAAZHJzL2Uyb0RvYy54bWxQSwUGAAAAAAYABgBZAQAAbAUAAAAA&#10;">
                <v:fill on="f" focussize="0,0"/>
                <v:stroke color="#000000" joinstyle="round"/>
                <v:imagedata o:title=""/>
                <o:lock v:ext="edit" aspectratio="f"/>
              </v:line>
            </w:pict>
          </mc:Fallback>
        </mc:AlternateContent>
      </w:r>
      <w:r>
        <w:rPr>
          <w:rFonts w:hint="eastAsia" w:ascii="宋体" w:hAnsi="宋体"/>
        </w:rPr>
        <w:t>投标人全称（加盖公章）</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58240;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O+wgXrGAQAAWwMAAA4AAABkcnMvZTJvRG9jLnhtbK1TzW4T&#10;MRC+I/EOlu/ESZpCWWXTQ6pyKRCp5QEmtnfXwvZYtpPdvAQvgMQNThy58zYtj4Ht/ADlhtjDaMcz&#10;881839jzy8FospU+KLQ1nYzGlEjLUSjb1vTd3fWzC0pCBCtAo5U13clALxdPn8x7V8kpdqiF9CSB&#10;2FD1rqZdjK5iLPBOGggjdNKmYIPeQEyub5nw0Cd0o9l0PH7OevTCeeQyhHR6tQ/SRcFvGsnj26YJ&#10;MhJd0zRbLNYXu86WLeZQtR5cp/hhDPiHKQwom5qeoK4gAtl49ReUUdxjwCaOOBqGTaO4LBwSm8n4&#10;EZvbDpwsXJI4wZ1kCv8Plr/ZrjxRoqYzSiyYtKKHj9/uP3z+8f1Tsg9fv5BZFql3oUq5S7vymSYf&#10;7K27Qf4+EIvLDmwry7B3O5cQJrmC/VGSneBSq3X/GkXKgU3EotjQeJMhkxZkKIvZnRYjh0h4Onxx&#10;djabnlPCjyEG1bHO+RBfSTQk/9RUK5slgwq2NyHmOaA6puRji9dK67J2bUlf05fnCTlHAmolcrA4&#10;vl0vtSdbyBenfIXUozSPGyv2TbQ9cM4094KtUexW/qhF2mCZ5nDb8hX53S/Vv97E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4dtNV1gAAAAkBAAAPAAAAAAAAAAEAIAAAACIAAABkcnMvZG93bnJl&#10;di54bWxQSwECFAAUAAAACACHTuJA77CBesYBAABbAwAADgAAAAAAAAABACAAAAAlAQAAZHJzL2Uy&#10;b0RvYy54bWxQSwUGAAAAAAYABgBZAQAAX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59264;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EBTVUvGAQAAWwMAAA4AAABkcnMvZTJvRG9jLnhtbK1TS24U&#10;MRDdI3EHy3um50P4tKYni4nCJsBISQ5Q40+3he2ybM90zyW4ABI7WLHMntsQjhHb8wHCDtGLUper&#10;6lW9V/b8fDCabIUPCm1DJ6MxJcIy5Mq2Db29uXz2ipIQwXLQaEVDdyLQ88XTJ/Pe1WKKHWouPEkg&#10;NtS9a2gXo6urKrBOGAgjdMKmoERvICbXtxX30Cd0o6vpePyi6tFz55GJENLpxT5IFwVfSsHieymD&#10;iEQ3NM0Wi/XFrrOtFnOoWw+uU+wwBvzDFAaUTU1PUBcQgWy8+gvKKOYxoIwjhqZCKRUThUNiMxk/&#10;YnPdgROFSxInuJNM4f/BsnfblSeKN3RGiQWTVnT/6e7Hxy8/v39O9v7bVzLLIvUu1Cl3aVc+02SD&#10;vXZXyD4EYnHZgW1FGfZm5xLCJFdUf5RkJ7jUat2/RZ5yYBOxKDZIbzJk0oIMZTG702LEEAlLhy9n&#10;s+fTM0rYMVRBfaxzPsQ3Ag3JPw3VymbJoIbtVYh5DqiPKfnY4qXSuqxdW9I39PVZQs6RgFrxHCyO&#10;b9dL7ckW8sUpXyH1KM3jxvJ9E20PnDPNvWBr5LuVP2qRNlimOdy2fEV+90v1rzexe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2u0e1gAAAAkBAAAPAAAAAAAAAAEAIAAAACIAAABkcnMvZG93bnJl&#10;di54bWxQSwECFAAUAAAACACHTuJAQFNVS8YBAABbAwAADgAAAAAAAAABACAAAAAlAQAAZHJzL2Uy&#10;b0RvYy54bWxQSwUGAAAAAAYABgBZAQAAX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0288;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BixG8FxgEAAFsDAAAOAAAAZHJzL2Uyb0RvYy54bWytU0uO&#10;EzEQ3SNxB8t70kkPw6eVziwyGjYDRJrhABV/ui1sl2U76c4luAASO1ixnD23YTgGtvMBhh2iF6Uu&#10;V9Wreq/s+cVoNNkKHxTals4mU0qEZciV7Vr67vbqyQtKQgTLQaMVLd2JQC8Wjx/NB9eIGnvUXHiS&#10;QGxoBtfSPkbXVFVgvTAQJuiETUGJ3kBMru8q7mFI6EZX9XT6rBrQc+eRiRDS6eU+SBcFX0rB4lsp&#10;g4hEtzTNFov1xa6zrRZzaDoPrlfsMAb8wxQGlE1NT1CXEIFsvPoLyijmMaCME4amQikVE4VDYjOb&#10;PmBz04MThUsSJ7iTTOH/wbI325Unire0psSCSSu6/3j3/cPnH98+JXv/9Qups0iDC03KXdqVzzTZ&#10;aG/cNbL3gVhc9mA7UYa93bmEMMsV1R8l2QkutVoPr5GnHNhELIqN0psMmbQgY1nM7rQYMUbC0uHz&#10;s7On9Tkl7BiqoDnWOR/iK4GG5J+WamWzZNDA9jrEPAc0x5R8bPFKaV3Wri0ZWvryPCHnSECteA4W&#10;x3frpfZkC/nilK+QepDmcWP5vom2B86Z5l6wNfLdyh+1SBss0xxuW74iv/ul+teb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M830dcAAAAJAQAADwAAAAAAAAABACAAAAAiAAAAZHJzL2Rvd25y&#10;ZXYueG1sUEsBAhQAFAAAAAgAh07iQGLEbwXGAQAAWwMAAA4AAAAAAAAAAQAgAAAAJgEAAGRycy9l&#10;Mm9Eb2MueG1sUEsFBgAAAAAGAAYAWQEAAF4FAAAAAA==&#10;">
                <v:fill on="f" focussize="0,0"/>
                <v:stroke color="#000000" joinstyle="round"/>
                <v:imagedata o:title=""/>
                <o:lock v:ext="edit" aspectratio="f"/>
              </v:line>
            </w:pict>
          </mc:Fallback>
        </mc:AlternateContent>
      </w:r>
      <w:r>
        <w:rPr>
          <w:rFonts w:hint="eastAsia" w:ascii="宋体" w:hAnsi="宋体"/>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30"/>
        </w:rPr>
        <w:t>格式</w:t>
      </w:r>
      <w:r>
        <w:rPr>
          <w:rFonts w:ascii="宋体" w:hAnsi="宋体"/>
          <w:sz w:val="30"/>
        </w:rPr>
        <w:t xml:space="preserve">2    </w:t>
      </w:r>
      <w:r>
        <w:rPr>
          <w:rFonts w:hint="eastAsia" w:ascii="宋体" w:hAnsi="宋体"/>
          <w:sz w:val="30"/>
        </w:rPr>
        <w:t>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0"/>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rPr>
            </w:pPr>
            <w:r>
              <w:rPr>
                <w:rFonts w:hint="eastAsia" w:ascii="宋体" w:hAnsi="宋体"/>
              </w:rPr>
              <w:t>合同包</w:t>
            </w:r>
          </w:p>
        </w:tc>
        <w:tc>
          <w:tcPr>
            <w:tcW w:w="1412" w:type="dxa"/>
            <w:vAlign w:val="center"/>
          </w:tcPr>
          <w:p>
            <w:pPr>
              <w:tabs>
                <w:tab w:val="left" w:pos="3570"/>
              </w:tabs>
              <w:spacing w:line="360" w:lineRule="auto"/>
              <w:ind w:right="-21" w:rightChars="-10"/>
              <w:jc w:val="center"/>
              <w:rPr>
                <w:rFonts w:ascii="宋体"/>
              </w:rPr>
            </w:pPr>
            <w:r>
              <w:rPr>
                <w:rFonts w:hint="eastAsia" w:ascii="宋体" w:hAnsi="宋体"/>
              </w:rPr>
              <w:t>货物名称</w:t>
            </w:r>
          </w:p>
        </w:tc>
        <w:tc>
          <w:tcPr>
            <w:tcW w:w="2266" w:type="dxa"/>
            <w:vAlign w:val="center"/>
          </w:tcPr>
          <w:p>
            <w:pPr>
              <w:tabs>
                <w:tab w:val="left" w:pos="3570"/>
              </w:tabs>
              <w:spacing w:line="360" w:lineRule="auto"/>
              <w:ind w:right="-21" w:rightChars="-10"/>
              <w:jc w:val="center"/>
              <w:rPr>
                <w:rFonts w:ascii="宋体"/>
              </w:rPr>
            </w:pPr>
            <w:r>
              <w:rPr>
                <w:rFonts w:hint="eastAsia" w:ascii="宋体" w:hAnsi="宋体"/>
              </w:rPr>
              <w:t>型号规格</w:t>
            </w:r>
          </w:p>
          <w:p>
            <w:pPr>
              <w:tabs>
                <w:tab w:val="left" w:pos="3570"/>
              </w:tabs>
              <w:spacing w:line="360" w:lineRule="auto"/>
              <w:ind w:right="-21" w:rightChars="-10"/>
              <w:jc w:val="center"/>
              <w:rPr>
                <w:rFonts w:ascii="宋体"/>
              </w:rPr>
            </w:pPr>
            <w:r>
              <w:rPr>
                <w:rFonts w:hint="eastAsia" w:ascii="宋体" w:hAnsi="宋体"/>
              </w:rPr>
              <w:t>制造商</w:t>
            </w:r>
          </w:p>
        </w:tc>
        <w:tc>
          <w:tcPr>
            <w:tcW w:w="1027" w:type="dxa"/>
            <w:vAlign w:val="center"/>
          </w:tcPr>
          <w:p>
            <w:pPr>
              <w:tabs>
                <w:tab w:val="left" w:pos="3570"/>
              </w:tabs>
              <w:spacing w:line="360" w:lineRule="auto"/>
              <w:ind w:right="-21" w:rightChars="-10"/>
              <w:jc w:val="center"/>
              <w:rPr>
                <w:rFonts w:ascii="宋体"/>
              </w:rPr>
            </w:pPr>
            <w:r>
              <w:rPr>
                <w:rFonts w:hint="eastAsia" w:ascii="宋体" w:hAnsi="宋体"/>
              </w:rPr>
              <w:t>数量</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单价</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u w:val="single"/>
              </w:rPr>
            </w:pPr>
            <w:r>
              <w:rPr>
                <w:rFonts w:hint="eastAsia" w:ascii="宋体" w:hAnsi="宋体"/>
              </w:rPr>
              <w:t>备注：以上报价包含增值税</w:t>
            </w:r>
            <w:r>
              <w:rPr>
                <w:rFonts w:hint="eastAsia" w:ascii="宋体" w:hAnsi="宋体"/>
                <w:u w:val="single"/>
              </w:rPr>
              <w:t xml:space="preserve">     </w:t>
            </w:r>
            <w:r>
              <w:rPr>
                <w:rFonts w:hint="eastAsia" w:ascii="宋体" w:hAnsi="宋体"/>
              </w:rPr>
              <w:t>（专用/普通）发票，税率为</w:t>
            </w:r>
            <w:r>
              <w:rPr>
                <w:rFonts w:hint="eastAsia" w:ascii="宋体" w:hAnsi="宋体"/>
                <w:u w:val="single"/>
              </w:rPr>
              <w:t xml:space="preserve">    </w:t>
            </w:r>
            <w:r>
              <w:rPr>
                <w:rFonts w:hint="eastAsia" w:ascii="宋体" w:hAnsi="宋体"/>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2019" w:firstLineChars="673"/>
        <w:rPr>
          <w:rFonts w:ascii="宋体" w:hAnsi="宋体"/>
          <w:color w:val="000000"/>
        </w:rPr>
      </w:pPr>
      <w:r>
        <w:rPr>
          <w:rFonts w:hint="eastAsia" w:ascii="宋体" w:hAnsi="宋体"/>
          <w:sz w:val="30"/>
        </w:rPr>
        <w:t>格式3  报价货物简要说明一览表</w:t>
      </w:r>
    </w:p>
    <w:p>
      <w:pPr>
        <w:tabs>
          <w:tab w:val="left" w:pos="3570"/>
        </w:tabs>
        <w:spacing w:line="360" w:lineRule="auto"/>
        <w:ind w:right="-21" w:rightChars="-10"/>
        <w:jc w:val="center"/>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报价人全称（加盖公章）：</w:t>
      </w:r>
      <w:r>
        <w:rPr>
          <w:rFonts w:hint="eastAsia" w:ascii="宋体" w:hAnsi="宋体"/>
          <w:color w:val="000000"/>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序号</w:t>
            </w:r>
          </w:p>
        </w:tc>
        <w:tc>
          <w:tcPr>
            <w:tcW w:w="1226"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货物名称</w:t>
            </w:r>
          </w:p>
        </w:tc>
        <w:tc>
          <w:tcPr>
            <w:tcW w:w="2955"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型号规格及配置</w:t>
            </w:r>
          </w:p>
        </w:tc>
        <w:tc>
          <w:tcPr>
            <w:tcW w:w="1399"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性能说明</w:t>
            </w:r>
          </w:p>
        </w:tc>
        <w:tc>
          <w:tcPr>
            <w:tcW w:w="87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数量</w:t>
            </w:r>
          </w:p>
        </w:tc>
        <w:tc>
          <w:tcPr>
            <w:tcW w:w="136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bl>
    <w:p>
      <w:pPr>
        <w:tabs>
          <w:tab w:val="left" w:pos="3570"/>
        </w:tabs>
        <w:spacing w:line="360" w:lineRule="auto"/>
        <w:ind w:right="-21" w:rightChars="-10"/>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报价代表签字：</w:t>
      </w:r>
      <w:r>
        <w:rPr>
          <w:rFonts w:hint="eastAsia" w:ascii="宋体" w:hAnsi="宋体"/>
          <w:color w:val="000000"/>
          <w:u w:val="single"/>
        </w:rPr>
        <w:t xml:space="preserve">                            </w:t>
      </w:r>
    </w:p>
    <w:p>
      <w:pPr>
        <w:tabs>
          <w:tab w:val="left" w:pos="3570"/>
        </w:tabs>
        <w:spacing w:line="360" w:lineRule="auto"/>
        <w:ind w:right="-21" w:rightChars="-10"/>
        <w:rPr>
          <w:rFonts w:ascii="宋体" w:hAnsi="宋体"/>
          <w:color w:val="000000"/>
          <w:u w:val="single"/>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日        期：</w:t>
      </w:r>
      <w:r>
        <w:rPr>
          <w:rFonts w:hint="eastAsia" w:ascii="宋体" w:hAnsi="宋体"/>
          <w:color w:val="000000"/>
          <w:u w:val="single"/>
        </w:rPr>
        <w:t xml:space="preserve">                            </w:t>
      </w:r>
    </w:p>
    <w:p>
      <w:pPr>
        <w:pStyle w:val="5"/>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5"/>
        <w:tabs>
          <w:tab w:val="left" w:pos="0"/>
          <w:tab w:val="left" w:pos="735"/>
        </w:tabs>
        <w:spacing w:line="360" w:lineRule="auto"/>
        <w:ind w:firstLine="365" w:firstLineChars="174"/>
      </w:pPr>
      <w:r>
        <w:rPr>
          <w:rFonts w:hint="eastAsia"/>
        </w:rPr>
        <w:t>报价人全称（加盖公章）</w:t>
      </w:r>
      <w:r>
        <w:rPr>
          <w:rFonts w:hint="eastAsia"/>
          <w:u w:val="single"/>
        </w:rPr>
        <w:t xml:space="preserve">                     </w:t>
      </w:r>
      <w:r>
        <w:rPr>
          <w:rFonts w:hint="eastAsia"/>
        </w:rPr>
        <w:t xml:space="preserve">  </w:t>
      </w:r>
    </w:p>
    <w:p>
      <w:pPr>
        <w:pStyle w:val="5"/>
        <w:tabs>
          <w:tab w:val="left" w:pos="0"/>
          <w:tab w:val="left" w:pos="735"/>
        </w:tabs>
        <w:spacing w:line="360" w:lineRule="auto"/>
        <w:ind w:firstLine="365" w:firstLineChars="174"/>
        <w:rPr>
          <w:u w:val="single"/>
        </w:rPr>
      </w:pPr>
      <w:r>
        <w:rPr>
          <w:rFonts w:hint="eastAsia"/>
          <w:u w:val="single"/>
        </w:rPr>
        <w:t xml:space="preserve">合同包：           </w:t>
      </w:r>
    </w:p>
    <w:tbl>
      <w:tblPr>
        <w:tblStyle w:val="1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18"/>
                <w:szCs w:val="18"/>
              </w:rPr>
            </w:pPr>
            <w:r>
              <w:rPr>
                <w:rFonts w:hint="eastAsia" w:ascii="宋体" w:hAnsi="宋体"/>
                <w:sz w:val="18"/>
                <w:szCs w:val="18"/>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18"/>
                <w:szCs w:val="18"/>
              </w:rPr>
            </w:pPr>
            <w:r>
              <w:rPr>
                <w:rFonts w:hint="eastAsia" w:ascii="宋体" w:hAnsi="宋体"/>
                <w:sz w:val="18"/>
                <w:szCs w:val="18"/>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5"/>
        <w:tabs>
          <w:tab w:val="left" w:pos="0"/>
          <w:tab w:val="left" w:pos="735"/>
        </w:tabs>
        <w:spacing w:line="360" w:lineRule="auto"/>
        <w:rPr>
          <w:rFonts w:hAnsi="宋体"/>
        </w:rPr>
      </w:pPr>
    </w:p>
    <w:p>
      <w:pPr>
        <w:pStyle w:val="5"/>
        <w:tabs>
          <w:tab w:val="left" w:pos="0"/>
          <w:tab w:val="left" w:pos="735"/>
        </w:tabs>
        <w:spacing w:line="360" w:lineRule="auto"/>
      </w:pPr>
    </w:p>
    <w:p>
      <w:pPr>
        <w:pStyle w:val="5"/>
        <w:tabs>
          <w:tab w:val="left" w:pos="0"/>
          <w:tab w:val="left" w:pos="735"/>
        </w:tabs>
        <w:spacing w:line="360" w:lineRule="auto"/>
        <w:ind w:firstLine="525" w:firstLineChars="250"/>
      </w:pPr>
      <w:r>
        <w:rPr>
          <w:rFonts w:hint="eastAsia"/>
        </w:rPr>
        <w:t>报价代表签字：</w:t>
      </w:r>
      <w:r>
        <w:rPr>
          <w:rFonts w:hint="eastAsia"/>
          <w:u w:val="single"/>
        </w:rPr>
        <w:t xml:space="preserve">                           </w:t>
      </w:r>
      <w:r>
        <w:rPr>
          <w:rFonts w:hint="eastAsia"/>
        </w:rPr>
        <w:t xml:space="preserve"> </w:t>
      </w:r>
    </w:p>
    <w:p>
      <w:pPr>
        <w:pStyle w:val="5"/>
        <w:tabs>
          <w:tab w:val="left" w:pos="0"/>
          <w:tab w:val="left" w:pos="735"/>
        </w:tabs>
        <w:spacing w:line="360" w:lineRule="auto"/>
        <w:ind w:firstLine="525" w:firstLineChars="250"/>
        <w:rPr>
          <w:u w:val="single"/>
        </w:rPr>
      </w:pPr>
      <w:r>
        <w:rPr>
          <w:rFonts w:hint="eastAsia"/>
        </w:rPr>
        <w:t>日        期：</w:t>
      </w:r>
      <w:r>
        <w:rPr>
          <w:rFonts w:hint="eastAsia"/>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r>
        <w:rPr>
          <w:rFonts w:hint="eastAsia"/>
          <w:bCs/>
          <w:sz w:val="28"/>
        </w:rPr>
        <w:t>格式5</w:t>
      </w:r>
      <w:r>
        <w:rPr>
          <w:bCs/>
          <w:sz w:val="28"/>
        </w:rPr>
        <w:t xml:space="preserve">     </w:t>
      </w:r>
      <w:r>
        <w:rPr>
          <w:rFonts w:hint="eastAsia"/>
          <w:bCs/>
          <w:sz w:val="28"/>
        </w:rPr>
        <w:t>报名函</w:t>
      </w:r>
    </w:p>
    <w:p>
      <w:pPr>
        <w:spacing w:line="360" w:lineRule="auto"/>
        <w:ind w:firstLine="570"/>
        <w:jc w:val="center"/>
        <w:rPr>
          <w:bCs/>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1312;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Fu29EccBAABcAwAADgAAAGRycy9lMm9Eb2MueG1srVPBjtMwEL0j&#10;8Q+W79RppF0tUdM9dLVcFqi0ywe4tpNY2B7Ldpv0J/gBJG5w4sidv2H3Mxi728LCDZHDKJ558zLz&#10;nrO4nKwhOxWiBtfS+ayiRDkBUru+pe/url9cUBITd5IbcKqlexXp5fL5s8XoG1XDAEaqQJDExWb0&#10;LR1S8g1jUQzK8jgDrxwWOwiWJzyGnsnAR2S3htVVdc5GCNIHECpGzF4dinRZ+LtOifS266JKxLQU&#10;Z0slhhI3ObLlgjd94H7Q4nEM/g9TWK4dfvREdcUTJ9ug/6KyWgSI0KWZAMug67RQZQfcZl79sc3t&#10;wL0qu6A40Z9kiv+PVrzZrQPREr2jxHGLFt1//Pbjw+eH758w3n/9QuZZpNHHBrErtw55TTG5W38D&#10;4n0kDlYDd70qw97tPTKUDvakJR+ix09txtcgEcO3CYpiUxdspkQtyFSM2Z+MUVMiApN1fXFeVeif&#10;ONYYb46NPsT0SoEl+aWlRrusGW/47iYmHB2hR0hOO7jWxhTfjSNjS1+e1WelIYLRMhczLIZ+szKB&#10;7Hi+OeXJOiDZE1iArZOHvHFYPu55UGwDcr8OuZzzaGEheLxu+Y78fi6oXz/F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LssL0gAAAAQBAAAPAAAAAAAAAAEAIAAAACIAAABkcnMvZG93bnJldi54&#10;bWxQSwECFAAUAAAACACHTuJAFu29EccBAABcAwAADgAAAAAAAAABACAAAAAhAQAAZHJzL2Uyb0Rv&#10;Yy54bWxQSwUGAAAAAAYABgBZAQAAWg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pStyle w:val="5"/>
        <w:tabs>
          <w:tab w:val="left" w:pos="0"/>
          <w:tab w:val="left" w:pos="735"/>
        </w:tabs>
        <w:spacing w:line="360" w:lineRule="auto"/>
        <w:rPr>
          <w:u w:val="single"/>
        </w:rPr>
      </w:pPr>
    </w:p>
    <w:p>
      <w:pPr>
        <w:pStyle w:val="4"/>
        <w:snapToGrid w:val="0"/>
        <w:spacing w:line="400" w:lineRule="exact"/>
        <w:ind w:firstLine="480" w:firstLineChars="200"/>
        <w:jc w:val="left"/>
        <w:rPr>
          <w:rFonts w:hAnsi="宋体"/>
          <w:sz w:val="24"/>
          <w:u w:val="single"/>
        </w:rPr>
      </w:pPr>
      <w:r>
        <w:rPr>
          <w:rFonts w:hint="eastAsia" w:hAnsi="宋体"/>
          <w:sz w:val="24"/>
          <w:u w:val="single"/>
        </w:rPr>
        <w:t>嘉庚创新实验室资产采购管理室:</w:t>
      </w:r>
    </w:p>
    <w:p>
      <w:pPr>
        <w:pStyle w:val="4"/>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4"/>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4"/>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4"/>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4"/>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4"/>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4"/>
        <w:snapToGrid w:val="0"/>
        <w:spacing w:line="400" w:lineRule="exact"/>
        <w:ind w:firstLine="480" w:firstLineChars="200"/>
        <w:jc w:val="left"/>
        <w:rPr>
          <w:rFonts w:hAnsi="宋体"/>
          <w:sz w:val="24"/>
        </w:rPr>
      </w:pPr>
      <w:r>
        <w:rPr>
          <w:rFonts w:hint="eastAsia" w:hAnsi="宋体"/>
          <w:sz w:val="24"/>
        </w:rPr>
        <w:t xml:space="preserve">投标人名称：                               </w:t>
      </w:r>
    </w:p>
    <w:p>
      <w:pPr>
        <w:pStyle w:val="4"/>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4"/>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rFonts w:ascii="宋体"/>
          <w:sz w:val="24"/>
        </w:rPr>
      </w:pPr>
      <w:r>
        <w:rPr>
          <w:rFonts w:hint="eastAsia" w:ascii="宋体" w:hAnsi="宋体"/>
          <w:sz w:val="24"/>
        </w:rPr>
        <w:t>日     期：</w:t>
      </w:r>
    </w:p>
    <w:p>
      <w:pPr>
        <w:spacing w:line="360" w:lineRule="auto"/>
        <w:ind w:firstLine="570"/>
        <w:jc w:val="center"/>
        <w:rPr>
          <w:bCs/>
          <w:sz w:val="28"/>
        </w:rPr>
      </w:pP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4"/>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4"/>
        <w:snapToGrid w:val="0"/>
        <w:spacing w:line="400" w:lineRule="exact"/>
        <w:ind w:firstLine="480" w:firstLineChars="200"/>
        <w:jc w:val="left"/>
        <w:rPr>
          <w:rFonts w:hAnsi="宋体"/>
          <w:sz w:val="24"/>
        </w:rPr>
      </w:pPr>
      <w:r>
        <w:rPr>
          <w:rFonts w:hint="eastAsia" w:hAnsi="宋体"/>
          <w:sz w:val="24"/>
        </w:rPr>
        <w:t>本授权书自出具之日起生效。</w:t>
      </w:r>
    </w:p>
    <w:p>
      <w:pPr>
        <w:pStyle w:val="4"/>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238290496"/>
      <w:bookmarkStart w:id="1" w:name="_Toc184176484"/>
      <w:bookmarkStart w:id="2" w:name="_Toc184550797"/>
      <w:bookmarkStart w:id="3" w:name="_Toc323741898"/>
      <w:bookmarkStart w:id="4" w:name="_Toc256416592"/>
      <w:r>
        <w:rPr>
          <w:rFonts w:hint="eastAsia"/>
          <w:sz w:val="24"/>
        </w:rPr>
        <w:t>附：被授权人身份证件</w:t>
      </w:r>
    </w:p>
    <w:p>
      <w:pPr>
        <w:pStyle w:val="22"/>
        <w:rPr>
          <w:rFonts w:hAnsi="宋体"/>
          <w:sz w:val="32"/>
        </w:rPr>
      </w:pPr>
      <w:r>
        <w:rPr>
          <w:sz w:val="32"/>
        </w:rPr>
        <mc:AlternateContent>
          <mc:Choice Requires="wps">
            <w:drawing>
              <wp:anchor distT="0" distB="0" distL="114300" distR="114300" simplePos="0" relativeHeight="251662336"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2336;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LvGI5HiAQAA6QMAAA4AAABkcnMvZTJvRG9jLnhtbK1T&#10;227bMAx9H7B/EPS+2HGXIDHiFOiy7GXYBrT7AEYXW4BukNTY+ftRSpq22x6GoX6QKfLoiDykNreT&#10;0eQoQlTOdnQ+qykRljmubN/Rnw/7DytKYgLLQTsrOnoSkd5u37/bjL4VjRuc5iIQJLGxHX1Hh5R8&#10;W1WRDcJAnDkvLAalCwYSbkNf8QAjshtdNXW9rEYXuA+OiRjRuzsH6bbwSylY+i5lFInojmJuqayh&#10;rIe8VtsNtH0APyh2SQP+IwsDyuKlV6odJCCPQf1BZRQLLjqZZsyZykmpmCg1YDXz+rdq7gfwotSC&#10;4kR/lSm+HS37dvwRiOLYu4YSCwZ79CCmRO7cRJpl1mf0sUXYvUdgmtCP2Cd/RGcue5LB5D8WRDCO&#10;Sp+u6mY2lg+t5uv1HEMMY8uPq5ubRaapnk/7ENMX4QzJRkcDdq+ICsevMZ2hT5B8WXRa8b3SumxC&#10;f/ikAzkCdnpfvgv7K5i2ZOzoetEsMA/AgZMaEprGowTR9uW+VyfiS+K6fH8jzontIA7nBApDhkFr&#10;VBKhWIMA/tlykk4eVbb4HmhOxghOiRb4fLJVkAmU/hckaqctSphbdG5FttJ0mJAmmwfHT9i2Rx9U&#10;P6CkpXEFjvNUtL/Mfh7Yl/tC+vxCt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ziNktkAAAAK&#10;AQAADwAAAAAAAAABACAAAAAiAAAAZHJzL2Rvd25yZXYueG1sUEsBAhQAFAAAAAgAh07iQLvGI5Hi&#10;AQAA6QMAAA4AAAAAAAAAAQAgAAAAKAEAAGRycy9lMm9Eb2MueG1sUEsFBgAAAAAGAAYAWQEAAHwF&#10;A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0"/>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2"/>
              <w:rPr>
                <w:sz w:val="32"/>
              </w:rPr>
            </w:pPr>
            <w:bookmarkStart w:id="5" w:name="_Toc433037128"/>
            <w:bookmarkStart w:id="6" w:name="_Toc418491550"/>
            <w:bookmarkStart w:id="7" w:name="_Toc415124366"/>
            <w:bookmarkStart w:id="8" w:name="_Toc41512419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2"/>
              <w:rPr>
                <w:sz w:val="32"/>
              </w:rPr>
            </w:pPr>
            <w:bookmarkStart w:id="9" w:name="_Toc415124367"/>
            <w:bookmarkStart w:id="10" w:name="_Toc415124199"/>
            <w:bookmarkStart w:id="11" w:name="_Toc433037129"/>
            <w:bookmarkStart w:id="12" w:name="_Toc418491551"/>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5"/>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供货及技术服务协议</w:t>
      </w:r>
    </w:p>
    <w:p>
      <w:pPr>
        <w:rPr>
          <w:bCs/>
          <w:sz w:val="28"/>
          <w:highlight w:val="yellow"/>
        </w:rPr>
      </w:pPr>
      <w:r>
        <w:rPr>
          <w:rFonts w:hint="eastAsia"/>
          <w:bCs/>
          <w:sz w:val="28"/>
        </w:rPr>
        <w:t>甲方：嘉庚创新实验室资产采购管理室</w:t>
      </w:r>
    </w:p>
    <w:p>
      <w:pPr>
        <w:rPr>
          <w:bCs/>
          <w:sz w:val="28"/>
        </w:rPr>
      </w:pPr>
      <w:r>
        <w:rPr>
          <w:rFonts w:hint="eastAsia"/>
          <w:bCs/>
          <w:sz w:val="28"/>
        </w:rPr>
        <w:t>（用户单位：     项目组）</w:t>
      </w:r>
    </w:p>
    <w:p>
      <w:pPr>
        <w:rPr>
          <w:bCs/>
          <w:sz w:val="28"/>
        </w:rPr>
      </w:pPr>
      <w:r>
        <w:rPr>
          <w:rFonts w:hint="eastAsia"/>
          <w:bCs/>
          <w:sz w:val="28"/>
        </w:rPr>
        <w:t xml:space="preserve">乙方： </w:t>
      </w: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0"/>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9"/>
              <w:spacing w:line="0" w:lineRule="atLeast"/>
              <w:jc w:val="center"/>
              <w:rPr>
                <w:rFonts w:ascii="Times New Roman" w:hAnsi="Times New Roman" w:cs="Times New Roman"/>
                <w:bCs/>
                <w:color w:val="auto"/>
                <w:kern w:val="2"/>
                <w:sz w:val="24"/>
                <w:szCs w:val="24"/>
              </w:rPr>
            </w:pPr>
          </w:p>
        </w:tc>
        <w:tc>
          <w:tcPr>
            <w:tcW w:w="1153" w:type="dxa"/>
            <w:vAlign w:val="center"/>
          </w:tcPr>
          <w:p>
            <w:pPr>
              <w:pStyle w:val="9"/>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bCs/>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rPr>
          <w:bCs/>
          <w:sz w:val="24"/>
        </w:rPr>
      </w:pPr>
      <w:r>
        <w:rPr>
          <w:rFonts w:hint="eastAsia"/>
          <w:bCs/>
          <w:sz w:val="24"/>
        </w:rPr>
        <w:t>5．外贸合同签订：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rPr>
          <w:rFonts w:ascii="宋体"/>
          <w:bCs/>
          <w:sz w:val="24"/>
        </w:rPr>
      </w:pPr>
      <w:r>
        <w:rPr>
          <w:bCs/>
          <w:sz w:val="24"/>
        </w:rPr>
        <w:t>6．付款</w:t>
      </w:r>
      <w:r>
        <w:rPr>
          <w:rFonts w:hint="eastAsia" w:ascii="宋体"/>
          <w:bCs/>
          <w:sz w:val="24"/>
        </w:rPr>
        <w:t>方式：甲方通过受其委托的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w:t>
      </w:r>
      <w:r>
        <w:rPr>
          <w:rFonts w:hint="eastAsia" w:ascii="宋体"/>
          <w:bCs/>
          <w:sz w:val="24"/>
        </w:rPr>
        <w:t>外贸代理公司）付款，乙方授权受其委托的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（前述乙方委托其签订外贸合同的出口商，一般为制造商）收款，</w:t>
      </w:r>
      <w:r>
        <w:rPr>
          <w:rFonts w:hint="eastAsia" w:ascii="宋体"/>
          <w:bCs/>
          <w:sz w:val="24"/>
        </w:rPr>
        <w:t>付款方式为：开具100%信用证，80%见单即付，20%货到验收合格后凭最终用户（嘉庚创新实验室</w:t>
      </w:r>
      <w:r>
        <w:rPr>
          <w:rFonts w:hint="eastAsia"/>
          <w:bCs/>
          <w:sz w:val="28"/>
        </w:rPr>
        <w:sym w:font="Wingdings 2" w:char="F0CD"/>
      </w:r>
      <w:r>
        <w:rPr>
          <w:rFonts w:hint="eastAsia"/>
          <w:bCs/>
          <w:sz w:val="28"/>
        </w:rPr>
        <w:sym w:font="Wingdings 2" w:char="F0CD"/>
      </w:r>
      <w:r>
        <w:rPr>
          <w:rFonts w:hint="eastAsia" w:ascii="宋体"/>
          <w:bCs/>
          <w:sz w:val="24"/>
        </w:rPr>
        <w:t>项目）的验收合格报告单支付。</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rPr>
      </w:pPr>
      <w:r>
        <w:rPr>
          <w:rFonts w:ascii="宋体"/>
          <w:bCs/>
          <w:sz w:val="24"/>
        </w:rPr>
        <w:t>11</w:t>
      </w:r>
      <w:r>
        <w:rPr>
          <w:rFonts w:hint="eastAsia" w:ascii="宋体"/>
          <w:bCs/>
          <w:sz w:val="24"/>
        </w:rPr>
        <w:t>.本协议壹式肆份，由甲方、甲方用户单位、乙方、嘉庚创新实验室资产采购管理室各执壹份，具有同等法律效力。</w:t>
      </w:r>
    </w:p>
    <w:p>
      <w:pPr>
        <w:spacing w:line="400" w:lineRule="exact"/>
        <w:jc w:val="left"/>
        <w:rPr>
          <w:rFonts w:ascii="宋体"/>
          <w:bCs/>
          <w:sz w:val="24"/>
        </w:rPr>
      </w:pPr>
    </w:p>
    <w:p>
      <w:pPr>
        <w:spacing w:line="400" w:lineRule="exact"/>
        <w:rPr>
          <w:bCs/>
          <w:sz w:val="24"/>
        </w:rPr>
      </w:pPr>
      <w:r>
        <w:rPr>
          <w:rFonts w:hint="eastAsia" w:ascii="宋体"/>
          <w:bCs/>
          <w:sz w:val="24"/>
        </w:rPr>
        <w:t>甲方：嘉庚创新实验室</w:t>
      </w:r>
      <w:r>
        <w:rPr>
          <w:rFonts w:hint="eastAsia"/>
          <w:bCs/>
          <w:sz w:val="24"/>
        </w:rPr>
        <w:t xml:space="preserve">              </w:t>
      </w:r>
      <w:r>
        <w:rPr>
          <w:rFonts w:hint="eastAsia" w:ascii="宋体"/>
          <w:bCs/>
          <w:sz w:val="24"/>
        </w:rPr>
        <w:t>乙方：</w:t>
      </w:r>
    </w:p>
    <w:p>
      <w:pPr>
        <w:spacing w:line="400" w:lineRule="exact"/>
        <w:ind w:left="627" w:leftChars="13" w:hanging="600" w:hangingChars="250"/>
        <w:rPr>
          <w:rFonts w:ascii="宋体"/>
          <w:bCs/>
          <w:sz w:val="24"/>
        </w:rPr>
      </w:pPr>
      <w:r>
        <w:rPr>
          <w:rFonts w:hint="eastAsia" w:ascii="宋体"/>
          <w:bCs/>
          <w:sz w:val="24"/>
        </w:rPr>
        <w:t>地址：                            地址：</w:t>
      </w:r>
    </w:p>
    <w:p>
      <w:pPr>
        <w:spacing w:line="400" w:lineRule="exact"/>
        <w:rPr>
          <w:rFonts w:ascii="宋体"/>
          <w:bCs/>
          <w:sz w:val="24"/>
        </w:rPr>
      </w:pPr>
      <w:r>
        <w:rPr>
          <w:rFonts w:hint="eastAsia" w:ascii="宋体"/>
          <w:bCs/>
          <w:sz w:val="24"/>
        </w:rPr>
        <w:t>用户代表人：                      法定代表人：</w:t>
      </w:r>
    </w:p>
    <w:p>
      <w:pPr>
        <w:spacing w:line="400" w:lineRule="exact"/>
        <w:rPr>
          <w:rFonts w:ascii="宋体"/>
          <w:bCs/>
          <w:sz w:val="24"/>
        </w:rPr>
      </w:pPr>
      <w:r>
        <w:rPr>
          <w:rFonts w:hint="eastAsia" w:ascii="宋体"/>
          <w:bCs/>
          <w:sz w:val="24"/>
        </w:rPr>
        <w:t>电话：                            委托代表人：</w:t>
      </w:r>
    </w:p>
    <w:p>
      <w:pPr>
        <w:spacing w:line="400" w:lineRule="exact"/>
        <w:rPr>
          <w:rFonts w:ascii="宋体"/>
          <w:bCs/>
          <w:sz w:val="24"/>
        </w:rPr>
      </w:pPr>
      <w:r>
        <w:rPr>
          <w:rFonts w:hint="eastAsia" w:ascii="宋体"/>
          <w:bCs/>
          <w:sz w:val="24"/>
        </w:rPr>
        <w:t>移动电话：                        电话：</w:t>
      </w:r>
    </w:p>
    <w:p>
      <w:pPr>
        <w:spacing w:line="400" w:lineRule="exact"/>
        <w:rPr>
          <w:rFonts w:ascii="宋体"/>
          <w:bCs/>
          <w:sz w:val="24"/>
        </w:rPr>
      </w:pPr>
      <w:r>
        <w:rPr>
          <w:rFonts w:hint="eastAsia" w:ascii="宋体"/>
          <w:bCs/>
          <w:sz w:val="24"/>
        </w:rPr>
        <w:t>日期：                            传真：</w:t>
      </w:r>
    </w:p>
    <w:p>
      <w:pPr>
        <w:spacing w:line="400" w:lineRule="exact"/>
        <w:ind w:left="-78"/>
        <w:rPr>
          <w:rFonts w:ascii="宋体"/>
          <w:bCs/>
          <w:sz w:val="24"/>
        </w:rPr>
      </w:pPr>
      <w:r>
        <w:rPr>
          <w:rFonts w:hint="eastAsia" w:ascii="宋体"/>
          <w:bCs/>
          <w:sz w:val="24"/>
        </w:rPr>
        <w:t xml:space="preserve">                                   日期：</w:t>
      </w:r>
    </w:p>
    <w:p>
      <w:pPr>
        <w:spacing w:line="400" w:lineRule="exact"/>
        <w:ind w:left="-78"/>
        <w:rPr>
          <w:rFonts w:ascii="宋体"/>
          <w:bCs/>
          <w:sz w:val="24"/>
        </w:rPr>
      </w:pPr>
      <w:r>
        <w:rPr>
          <w:rFonts w:hint="eastAsia" w:ascii="宋体"/>
          <w:bCs/>
          <w:sz w:val="24"/>
        </w:rPr>
        <w:t>用户代表人所在单位签章：</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jc w:val="center"/>
        <w:rPr>
          <w:b/>
          <w:bCs/>
          <w:color w:val="000000"/>
          <w:sz w:val="28"/>
        </w:rPr>
      </w:pPr>
    </w:p>
    <w:p>
      <w:pPr>
        <w:spacing w:line="360" w:lineRule="auto"/>
        <w:jc w:val="center"/>
        <w:rPr>
          <w:b/>
          <w:bCs/>
          <w:color w:val="000000"/>
          <w:sz w:val="28"/>
        </w:rPr>
      </w:pPr>
      <w:r>
        <w:rPr>
          <w:rFonts w:hint="eastAsia"/>
          <w:b/>
          <w:bCs/>
          <w:color w:val="000000"/>
          <w:sz w:val="28"/>
        </w:rPr>
        <w:t xml:space="preserve">格式11  </w:t>
      </w:r>
      <w:r>
        <w:rPr>
          <w:b/>
          <w:bCs/>
          <w:color w:val="000000"/>
          <w:sz w:val="28"/>
        </w:rPr>
        <w:t>合同书</w:t>
      </w:r>
    </w:p>
    <w:tbl>
      <w:tblPr>
        <w:tblStyle w:val="10"/>
        <w:tblW w:w="8099" w:type="dxa"/>
        <w:tblInd w:w="42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0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80" w:hRule="atLeast"/>
        </w:trPr>
        <w:tc>
          <w:tcPr>
            <w:tcW w:w="8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tLeast"/>
              <w:jc w:val="left"/>
              <w:rPr>
                <w:rFonts w:ascii="宋体" w:hAnsi="宋体" w:cs="宋体"/>
                <w:color w:val="000000"/>
                <w:kern w:val="0"/>
                <w:szCs w:val="21"/>
              </w:rPr>
            </w:pPr>
            <w:r>
              <w:rPr>
                <w:rFonts w:hint="eastAsia" w:ascii="宋体" w:hAnsi="宋体" w:cs="宋体"/>
                <w:color w:val="000000"/>
                <w:kern w:val="0"/>
                <w:sz w:val="24"/>
              </w:rPr>
              <w:t>注释：</w:t>
            </w:r>
          </w:p>
          <w:p>
            <w:pPr>
              <w:widowControl/>
              <w:spacing w:line="36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本格式条款仅作为双方签订合同的参考，为阐明各方的权利和义务，经协商可增加新的条款、修改相关条款，但不得与招标文件、投标文件的实质性内容相背离。</w:t>
            </w:r>
          </w:p>
          <w:p>
            <w:pPr>
              <w:widowControl/>
              <w:spacing w:line="360" w:lineRule="atLeast"/>
              <w:ind w:firstLine="480"/>
              <w:jc w:val="left"/>
              <w:rPr>
                <w:rFonts w:ascii="宋体" w:hAnsi="宋体" w:cs="宋体"/>
                <w:color w:val="000000"/>
                <w:kern w:val="0"/>
                <w:szCs w:val="21"/>
              </w:rPr>
            </w:pPr>
            <w:r>
              <w:rPr>
                <w:rFonts w:hint="eastAsia" w:ascii="宋体" w:hAnsi="宋体" w:cs="宋体"/>
                <w:color w:val="000000"/>
                <w:kern w:val="0"/>
                <w:szCs w:val="21"/>
              </w:rPr>
              <w:t> </w:t>
            </w:r>
          </w:p>
        </w:tc>
      </w:tr>
    </w:tbl>
    <w:p>
      <w:pPr>
        <w:widowControl/>
        <w:shd w:val="clear" w:color="auto" w:fill="FFFFFF"/>
        <w:wordWrap w:val="0"/>
        <w:spacing w:line="420" w:lineRule="atLeast"/>
        <w:jc w:val="right"/>
        <w:rPr>
          <w:rFonts w:ascii="宋体" w:hAnsi="宋体" w:cs="宋体"/>
          <w:color w:val="000000"/>
          <w:kern w:val="0"/>
          <w:szCs w:val="21"/>
        </w:rPr>
      </w:pPr>
      <w:r>
        <w:rPr>
          <w:rFonts w:hint="eastAsia" w:ascii="宋体" w:hAnsi="宋体" w:cs="宋体"/>
          <w:color w:val="000000"/>
          <w:kern w:val="0"/>
          <w:szCs w:val="21"/>
        </w:rPr>
        <w:t>嘉庚实验室</w:t>
      </w:r>
      <w:r>
        <w:rPr>
          <w:rFonts w:hint="eastAsia" w:ascii="宋体" w:hAnsi="宋体" w:cs="宋体"/>
          <w:color w:val="000000"/>
          <w:kern w:val="0"/>
          <w:sz w:val="24"/>
        </w:rPr>
        <w:t>合同号：</w:t>
      </w:r>
      <w:r>
        <w:rPr>
          <w:rFonts w:ascii="宋体" w:hAnsi="宋体" w:cs="宋体"/>
          <w:color w:val="000000"/>
          <w:kern w:val="0"/>
          <w:sz w:val="24"/>
          <w:u w:val="single"/>
        </w:rPr>
        <w:t xml:space="preserve">         </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甲方(采购人)：嘉庚创新实验室             签订地点：福建省厦门市</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乙方（中标人）：                     签订日期：      年     月     日</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根据甲方</w:t>
      </w:r>
      <w:r>
        <w:rPr>
          <w:rFonts w:hint="eastAsia" w:ascii="宋体" w:hAnsi="宋体" w:cs="宋体"/>
          <w:color w:val="000000"/>
          <w:kern w:val="0"/>
          <w:sz w:val="24"/>
          <w:u w:val="single"/>
        </w:rPr>
        <w:t xml:space="preserve">         </w:t>
      </w:r>
      <w:r>
        <w:rPr>
          <w:rFonts w:hint="eastAsia" w:ascii="宋体" w:hAnsi="宋体" w:cs="宋体"/>
          <w:color w:val="000000"/>
          <w:kern w:val="0"/>
          <w:sz w:val="24"/>
        </w:rPr>
        <w:t>进行招标采购（招标编号：</w:t>
      </w:r>
      <w:r>
        <w:rPr>
          <w:rFonts w:hint="eastAsia" w:ascii="宋体" w:hAnsi="宋体" w:cs="宋体"/>
          <w:color w:val="000000"/>
          <w:kern w:val="0"/>
          <w:sz w:val="24"/>
          <w:u w:val="single"/>
        </w:rPr>
        <w:t xml:space="preserve">          </w:t>
      </w:r>
      <w:r>
        <w:rPr>
          <w:rFonts w:hint="eastAsia" w:ascii="宋体" w:hAnsi="宋体" w:cs="宋体"/>
          <w:color w:val="000000"/>
          <w:kern w:val="0"/>
          <w:sz w:val="24"/>
        </w:rPr>
        <w:t>）的招标结果，乙方为中标人，现依照招标文件、投标文件及有关法律、法规、规章规定的内容，双方达成如下协议：</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1、合同标的和合同价格</w:t>
      </w:r>
      <w:r>
        <w:rPr>
          <w:rFonts w:hint="eastAsia" w:ascii="宋体" w:hAnsi="宋体" w:cs="宋体"/>
          <w:b/>
          <w:color w:val="FF0000"/>
          <w:kern w:val="0"/>
          <w:sz w:val="24"/>
        </w:rPr>
        <w:t>（详细参数、质量要求见技术协议）</w:t>
      </w:r>
    </w:p>
    <w:tbl>
      <w:tblPr>
        <w:tblStyle w:val="10"/>
        <w:tblW w:w="8698" w:type="dxa"/>
        <w:tblInd w:w="-17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91"/>
        <w:gridCol w:w="1190"/>
        <w:gridCol w:w="1505"/>
        <w:gridCol w:w="732"/>
        <w:gridCol w:w="1228"/>
        <w:gridCol w:w="1526"/>
        <w:gridCol w:w="15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85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 w:val="24"/>
              </w:rPr>
            </w:pPr>
            <w:r>
              <w:rPr>
                <w:rFonts w:hint="eastAsia" w:ascii="宋体" w:hAnsi="宋体" w:cs="宋体"/>
                <w:color w:val="000000"/>
                <w:kern w:val="0"/>
                <w:sz w:val="24"/>
              </w:rPr>
              <w:t>产品</w:t>
            </w:r>
          </w:p>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名称</w:t>
            </w:r>
          </w:p>
        </w:tc>
        <w:tc>
          <w:tcPr>
            <w:tcW w:w="1190"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规格型号</w:t>
            </w:r>
          </w:p>
        </w:tc>
        <w:tc>
          <w:tcPr>
            <w:tcW w:w="1505"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生产厂家</w:t>
            </w:r>
          </w:p>
        </w:tc>
        <w:tc>
          <w:tcPr>
            <w:tcW w:w="732"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数 量</w:t>
            </w:r>
          </w:p>
        </w:tc>
        <w:tc>
          <w:tcPr>
            <w:tcW w:w="1228"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单 价</w:t>
            </w:r>
          </w:p>
        </w:tc>
        <w:tc>
          <w:tcPr>
            <w:tcW w:w="1526"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总 价</w:t>
            </w:r>
          </w:p>
        </w:tc>
        <w:tc>
          <w:tcPr>
            <w:tcW w:w="1526"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交货期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r>
              <w:rPr>
                <w:rFonts w:hint="eastAsia" w:ascii="宋体" w:hAnsi="宋体" w:cs="宋体"/>
                <w:color w:val="000000"/>
                <w:kern w:val="0"/>
                <w:szCs w:val="21"/>
              </w:rPr>
              <w:t xml:space="preserve"> </w:t>
            </w: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r>
              <w:rPr>
                <w:rFonts w:hint="eastAsia" w:ascii="宋体" w:hAnsi="宋体" w:cs="宋体"/>
                <w:color w:val="000000"/>
                <w:kern w:val="0"/>
                <w:szCs w:val="21"/>
              </w:rPr>
              <w:t xml:space="preserve"> </w:t>
            </w:r>
          </w:p>
        </w:tc>
        <w:tc>
          <w:tcPr>
            <w:tcW w:w="1505"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r>
              <w:rPr>
                <w:rFonts w:hint="eastAsia" w:ascii="宋体" w:hAnsi="宋体" w:cs="宋体"/>
                <w:color w:val="000000"/>
                <w:kern w:val="0"/>
                <w:szCs w:val="21"/>
              </w:rPr>
              <w:t xml:space="preserve"> </w:t>
            </w:r>
          </w:p>
        </w:tc>
        <w:tc>
          <w:tcPr>
            <w:tcW w:w="1505"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05"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05"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567" w:hRule="atLeast"/>
        </w:trPr>
        <w:tc>
          <w:tcPr>
            <w:tcW w:w="8698" w:type="dxa"/>
            <w:gridSpan w:val="7"/>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ind w:firstLine="480" w:firstLineChars="200"/>
              <w:jc w:val="left"/>
              <w:rPr>
                <w:rFonts w:ascii="宋体" w:hAnsi="宋体" w:cs="宋体"/>
                <w:color w:val="000000"/>
                <w:kern w:val="0"/>
                <w:szCs w:val="21"/>
              </w:rPr>
            </w:pPr>
            <w:r>
              <w:rPr>
                <w:rFonts w:hint="eastAsia" w:ascii="宋体" w:hAnsi="宋体"/>
                <w:color w:val="000000"/>
                <w:sz w:val="24"/>
              </w:rPr>
              <w:t>该价格为本次货物安装调试完毕，经用户验收小组验收合格并交付使用所有可能发生的费用，包括货物制造、运输、采购保管、产品检验检测、安装调试、施工配合费、税收以及售后服务等费用。</w:t>
            </w:r>
          </w:p>
        </w:tc>
      </w:tr>
    </w:tbl>
    <w:p>
      <w:pPr>
        <w:spacing w:line="400" w:lineRule="exact"/>
        <w:ind w:firstLine="480"/>
        <w:jc w:val="left"/>
        <w:outlineLvl w:val="0"/>
        <w:rPr>
          <w:bCs/>
          <w:sz w:val="24"/>
        </w:rPr>
      </w:pPr>
      <w:r>
        <w:rPr>
          <w:rFonts w:asciiTheme="majorEastAsia" w:hAnsiTheme="majorEastAsia" w:eastAsiaTheme="majorEastAsia"/>
          <w:bCs/>
          <w:sz w:val="24"/>
        </w:rPr>
        <w:t>2</w:t>
      </w:r>
      <w:r>
        <w:rPr>
          <w:rFonts w:hint="eastAsia" w:asciiTheme="majorEastAsia" w:hAnsiTheme="majorEastAsia" w:eastAsiaTheme="majorEastAsia"/>
          <w:bCs/>
          <w:sz w:val="24"/>
        </w:rPr>
        <w:t>、</w:t>
      </w:r>
      <w:r>
        <w:rPr>
          <w:rFonts w:hint="eastAsia"/>
          <w:bCs/>
          <w:sz w:val="24"/>
        </w:rPr>
        <w:t>质量与保修</w:t>
      </w:r>
    </w:p>
    <w:p>
      <w:pPr>
        <w:spacing w:line="400" w:lineRule="exact"/>
        <w:ind w:firstLine="480" w:firstLineChars="200"/>
        <w:jc w:val="left"/>
        <w:outlineLvl w:val="0"/>
        <w:rPr>
          <w:sz w:val="24"/>
        </w:rPr>
      </w:pPr>
      <w:r>
        <w:rPr>
          <w:rFonts w:asciiTheme="majorEastAsia" w:hAnsiTheme="majorEastAsia" w:eastAsiaTheme="majorEastAsia"/>
          <w:sz w:val="24"/>
        </w:rPr>
        <w:t>2.1</w:t>
      </w:r>
      <w:r>
        <w:rPr>
          <w:rFonts w:hint="eastAsia"/>
          <w:sz w:val="24"/>
        </w:rPr>
        <w:t>乙方须保证提供的产品是由乙方制造、生产或乙方经合法方式取得的有经销权的产品，并保证乙方交付的所有协议产品（包括包装等）均符合产品说明书及国家相关标准的规定。</w:t>
      </w:r>
    </w:p>
    <w:p>
      <w:pPr>
        <w:spacing w:line="400" w:lineRule="exact"/>
        <w:ind w:firstLine="480" w:firstLineChars="200"/>
        <w:jc w:val="left"/>
        <w:rPr>
          <w:sz w:val="24"/>
        </w:rPr>
      </w:pPr>
      <w:r>
        <w:rPr>
          <w:rFonts w:asciiTheme="minorEastAsia" w:hAnsiTheme="minorEastAsia" w:eastAsiaTheme="minorEastAsia"/>
          <w:sz w:val="24"/>
        </w:rPr>
        <w:t>2.2</w:t>
      </w:r>
      <w:r>
        <w:rPr>
          <w:rFonts w:hint="eastAsia"/>
          <w:sz w:val="24"/>
        </w:rPr>
        <w:t>若产品为乙方生产，甲方有权在乙方生产过程中到乙方工厂进行跟踪生产进度，随机抽取一定数量板材、胶水、油漆等小样带回交由有资质的环保检测公司检验，乙方要给予积极配合。乙方也可留用相同批次、数量的小样以备甲方检测不合格后自行复检。如果甲方带回的小样检测不合格，甲方有权要求乙方给予更换原材料，以保证供应给甲方的家具检测合格，乙方不得以此为由拖延工期，若由此给甲方造成延期交付、退换货物等直接、间接损失，由乙方承担。</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3、交货时间和交货地点</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3.1交货时间：</w:t>
      </w:r>
      <w:r>
        <w:rPr>
          <w:rFonts w:hint="eastAsia"/>
          <w:sz w:val="24"/>
        </w:rPr>
        <w:t>所有货物在</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日前全部安装完毕并可交付使用。如甲方未能及时提供交货场地或具备安装条件（水、电、通风管路位置），则交货时间顺延，乙方自行承担仓储费及其他费用。</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3.2交货地点：</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楼</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4、包装及供货清单</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4.1乙方提供的全部货物，均应采用相应的标准保护措施进行包装，使包装适应于远距离运输、防潮、防震、防锈和防粗暴装卸，确保货物安全无损运抵现场。由于包装不善所引起的货物锈蚀、损坏和损失均由乙方承担。（甲方对包装及运输有特别要求的，应作具体约定。）</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4.2供货清单：包括产品主机、随机备品备件、专用工具的名称及数量、</w:t>
      </w:r>
      <w:r>
        <w:rPr>
          <w:rFonts w:hint="eastAsia"/>
          <w:sz w:val="24"/>
        </w:rPr>
        <w:t>用户手册、出厂质量检验合格证及其他必要的资料</w:t>
      </w:r>
      <w:r>
        <w:rPr>
          <w:rFonts w:hint="eastAsia" w:ascii="宋体" w:hAnsi="宋体" w:cs="宋体"/>
          <w:color w:val="000000"/>
          <w:kern w:val="0"/>
          <w:sz w:val="24"/>
        </w:rPr>
        <w:t>。</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5、安装调试、技术服务、人员培训及技术资料</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乙方在现场安装时要注意保管未交付甲方的货物，同时注意安装地点及周围的环境卫生，严格进行文明施工，装卸、运输、安装时不得损坏办公地面和其他设施，如损坏需由乙方赔偿甲方全部维修费用。在安装过程中甲方将随机抽取一定数量的货物送国家认可的质量检测机构检测，检测费用由乙方承担，如果因检测对部分货物造成的破损，乙方应无偿在安装、调试完所有货物前给予修复。若达不到投标书中承诺及国家标准的品质及环保要求的，甲方有权要求乙方整改或退回不合格产品，由此造成的损失由乙方负责。</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6、验收</w:t>
      </w:r>
      <w:r>
        <w:rPr>
          <w:rFonts w:hint="eastAsia" w:ascii="宋体" w:hAnsi="宋体" w:cs="宋体"/>
          <w:b/>
          <w:color w:val="FF0000"/>
          <w:kern w:val="0"/>
          <w:sz w:val="24"/>
        </w:rPr>
        <w:t>(按投标文件填写)</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验收可细分为到货时的外在质量的验收，投产前的质量验收，大型设备可能还存在更多的验收步骤和验收方式，具体标准</w:t>
      </w:r>
      <w:r>
        <w:rPr>
          <w:rFonts w:hint="eastAsia" w:ascii="宋体" w:hAnsi="宋体" w:cs="宋体"/>
          <w:color w:val="FF0000"/>
          <w:kern w:val="0"/>
          <w:sz w:val="24"/>
        </w:rPr>
        <w:t>按招标文件要求执行</w:t>
      </w:r>
      <w:r>
        <w:rPr>
          <w:rFonts w:hint="eastAsia" w:ascii="宋体" w:hAnsi="宋体" w:cs="宋体"/>
          <w:color w:val="000000"/>
          <w:kern w:val="0"/>
          <w:sz w:val="24"/>
        </w:rPr>
        <w:t>。</w:t>
      </w:r>
    </w:p>
    <w:p>
      <w:pPr>
        <w:widowControl/>
        <w:shd w:val="clear" w:color="auto" w:fill="FFFFFF"/>
        <w:spacing w:line="440" w:lineRule="atLeast"/>
        <w:ind w:firstLine="480"/>
        <w:jc w:val="left"/>
        <w:rPr>
          <w:rFonts w:ascii="宋体" w:hAnsi="宋体" w:cs="宋体"/>
          <w:color w:val="000000"/>
          <w:kern w:val="0"/>
          <w:szCs w:val="21"/>
        </w:rPr>
      </w:pPr>
      <w:r>
        <w:rPr>
          <w:rFonts w:hint="eastAsia"/>
          <w:sz w:val="24"/>
        </w:rPr>
        <w:t>甲方在收到乙方书面通知十五个工作日内，应组织人员进行验收，</w:t>
      </w:r>
      <w:r>
        <w:rPr>
          <w:rFonts w:hint="eastAsia" w:ascii="宋体" w:hAnsi="宋体" w:cs="宋体"/>
          <w:color w:val="000000"/>
          <w:kern w:val="0"/>
          <w:sz w:val="24"/>
        </w:rPr>
        <w:t>验收结果经双方确认后，双方代表必须按规定的验收交接单上的项目对照本合同填好验收结果并签名盖章。</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验收不合格的，乙方须先进行整改，仍旧不合格的，甲方有权退货，并要求赔偿由此给用户造成的损失，赔偿金将在履约保证金或货款中扣除。</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7、付款方式与条件</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7.1货物交货付款</w:t>
      </w:r>
    </w:p>
    <w:p>
      <w:pPr>
        <w:spacing w:line="360" w:lineRule="auto"/>
        <w:ind w:firstLine="480" w:firstLineChars="200"/>
        <w:rPr>
          <w:sz w:val="24"/>
        </w:rPr>
      </w:pPr>
      <w:r>
        <w:rPr>
          <w:rFonts w:hint="eastAsia"/>
          <w:sz w:val="24"/>
        </w:rPr>
        <w:t>甲、乙双方采用下列第</w:t>
      </w:r>
      <w:r>
        <w:rPr>
          <w:rFonts w:hint="eastAsia"/>
          <w:sz w:val="24"/>
          <w:u w:val="single"/>
        </w:rPr>
        <w:t xml:space="preserve">    </w:t>
      </w:r>
      <w:r>
        <w:rPr>
          <w:rFonts w:hint="eastAsia"/>
          <w:sz w:val="24"/>
        </w:rPr>
        <w:t>种方式交货付款：</w:t>
      </w:r>
    </w:p>
    <w:p>
      <w:pPr>
        <w:spacing w:line="360" w:lineRule="auto"/>
        <w:ind w:firstLine="480" w:firstLineChars="200"/>
        <w:rPr>
          <w:color w:val="000000"/>
          <w:sz w:val="24"/>
        </w:rPr>
      </w:pPr>
      <w:r>
        <w:rPr>
          <w:rFonts w:hint="eastAsia"/>
          <w:sz w:val="24"/>
        </w:rPr>
        <w:t>①</w:t>
      </w:r>
      <w:r>
        <w:rPr>
          <w:rFonts w:hint="eastAsia"/>
          <w:color w:val="000000"/>
          <w:sz w:val="24"/>
        </w:rPr>
        <w:t>合同签订后，用户验收小组验收合格交付使用的十五个工作日内付货款的95％（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②合同签订后，甲方根据乙方提供的下单凭证预付货款的</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），在全部货物验收合格后付款，</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widowControl/>
        <w:shd w:val="clear" w:color="auto" w:fill="FFFFFF"/>
        <w:spacing w:line="440" w:lineRule="atLeast"/>
        <w:jc w:val="left"/>
        <w:rPr>
          <w:color w:val="000000"/>
          <w:sz w:val="24"/>
        </w:rPr>
      </w:pPr>
      <w:r>
        <w:rPr>
          <w:rFonts w:hint="eastAsia" w:ascii="宋体" w:hAnsi="宋体" w:cs="宋体"/>
          <w:color w:val="000000"/>
          <w:kern w:val="0"/>
          <w:sz w:val="24"/>
        </w:rPr>
        <w:t xml:space="preserve">    ③合同签订后，甲方根据乙方提供的下单凭证预付货款的95</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widowControl/>
        <w:shd w:val="clear" w:color="auto" w:fill="FFFFFF"/>
        <w:spacing w:line="440" w:lineRule="atLeast"/>
        <w:ind w:firstLine="480" w:firstLineChars="200"/>
        <w:jc w:val="left"/>
        <w:rPr>
          <w:color w:val="000000"/>
          <w:sz w:val="24"/>
        </w:rPr>
      </w:pPr>
      <w:r>
        <w:rPr>
          <w:rFonts w:hint="eastAsia"/>
          <w:color w:val="000000"/>
          <w:sz w:val="24"/>
        </w:rPr>
        <w:t>若甲方预付款时需要对应金额的发票，乙方应及时提供。</w:t>
      </w:r>
    </w:p>
    <w:p>
      <w:pPr>
        <w:widowControl/>
        <w:shd w:val="clear" w:color="auto" w:fill="FFFFFF"/>
        <w:spacing w:line="440" w:lineRule="atLeast"/>
        <w:ind w:firstLine="480" w:firstLineChars="200"/>
        <w:jc w:val="left"/>
        <w:rPr>
          <w:color w:val="000000"/>
          <w:sz w:val="24"/>
        </w:rPr>
      </w:pPr>
      <w:r>
        <w:rPr>
          <w:rFonts w:hint="eastAsia"/>
          <w:color w:val="000000"/>
          <w:sz w:val="24"/>
        </w:rPr>
        <w:t>现场交货条件下，乙方要求付款应提交下列单证和文件。</w:t>
      </w:r>
    </w:p>
    <w:p>
      <w:pPr>
        <w:widowControl/>
        <w:shd w:val="clear" w:color="auto" w:fill="FFFFFF"/>
        <w:spacing w:line="440" w:lineRule="atLeast"/>
        <w:ind w:firstLine="240"/>
        <w:jc w:val="left"/>
        <w:rPr>
          <w:rFonts w:ascii="宋体" w:hAnsi="宋体" w:cs="宋体"/>
          <w:color w:val="000000"/>
          <w:kern w:val="0"/>
          <w:szCs w:val="21"/>
        </w:rPr>
      </w:pPr>
      <w:r>
        <w:rPr>
          <w:rFonts w:hint="eastAsia" w:ascii="宋体" w:hAnsi="宋体" w:cs="宋体"/>
          <w:color w:val="000000"/>
          <w:kern w:val="0"/>
          <w:sz w:val="24"/>
        </w:rPr>
        <w:t>a.金额为有关合同货物价格</w:t>
      </w:r>
      <w:r>
        <w:rPr>
          <w:rFonts w:hint="eastAsia" w:ascii="宋体" w:hAnsi="宋体" w:cs="宋体"/>
          <w:color w:val="000000"/>
          <w:kern w:val="0"/>
          <w:sz w:val="24"/>
          <w:u w:val="single"/>
        </w:rPr>
        <w:t xml:space="preserve">     %</w:t>
      </w:r>
      <w:r>
        <w:rPr>
          <w:rFonts w:hint="eastAsia" w:ascii="宋体" w:hAnsi="宋体" w:cs="宋体"/>
          <w:color w:val="000000"/>
          <w:kern w:val="0"/>
          <w:sz w:val="24"/>
        </w:rPr>
        <w:t>的正式发票。</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b.制造厂家出具的货物质量合格证书。</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c.甲方已收讫货物的验收凭证。</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d.甲方签发的验收合格文件。</w:t>
      </w:r>
    </w:p>
    <w:p>
      <w:pPr>
        <w:widowControl/>
        <w:shd w:val="clear" w:color="auto" w:fill="FFFFFF"/>
        <w:spacing w:line="440" w:lineRule="atLeast"/>
        <w:ind w:firstLine="360" w:firstLineChars="150"/>
        <w:jc w:val="left"/>
        <w:rPr>
          <w:rFonts w:ascii="宋体" w:hAnsi="宋体" w:cs="宋体"/>
          <w:color w:val="000000"/>
          <w:kern w:val="0"/>
          <w:szCs w:val="21"/>
        </w:rPr>
      </w:pPr>
      <w:r>
        <w:rPr>
          <w:rFonts w:hint="eastAsia" w:ascii="宋体" w:hAnsi="宋体" w:cs="宋体"/>
          <w:color w:val="000000"/>
          <w:kern w:val="0"/>
          <w:sz w:val="24"/>
        </w:rPr>
        <w:t>7.2分期支付货款的，余下的货款应于</w:t>
      </w:r>
      <w:r>
        <w:rPr>
          <w:rFonts w:hint="eastAsia" w:ascii="宋体" w:hAnsi="宋体" w:cs="宋体"/>
          <w:color w:val="000000"/>
          <w:kern w:val="0"/>
          <w:sz w:val="24"/>
          <w:u w:val="single"/>
        </w:rPr>
        <w:t xml:space="preserve">           </w:t>
      </w:r>
      <w:r>
        <w:rPr>
          <w:rFonts w:hint="eastAsia" w:ascii="宋体" w:hAnsi="宋体" w:cs="宋体"/>
          <w:color w:val="000000"/>
          <w:kern w:val="0"/>
          <w:sz w:val="24"/>
        </w:rPr>
        <w:t>（时间）支付。</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8、售后服务</w:t>
      </w:r>
      <w:r>
        <w:rPr>
          <w:rFonts w:hint="eastAsia" w:ascii="宋体" w:hAnsi="宋体" w:cs="宋体"/>
          <w:b/>
          <w:color w:val="FF0000"/>
          <w:kern w:val="0"/>
          <w:sz w:val="24"/>
        </w:rPr>
        <w:t>(按投标文件填写)</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各合同包货物质保期要求均为货物经最终验收合格后</w:t>
      </w:r>
      <w:r>
        <w:rPr>
          <w:rFonts w:hint="eastAsia" w:ascii="宋体" w:hAnsi="宋体" w:cs="宋体"/>
          <w:color w:val="000000"/>
          <w:kern w:val="0"/>
          <w:sz w:val="24"/>
          <w:u w:val="single"/>
        </w:rPr>
        <w:t xml:space="preserve">    </w:t>
      </w:r>
      <w:r>
        <w:rPr>
          <w:rFonts w:hint="eastAsia" w:ascii="宋体" w:hAnsi="宋体" w:cs="宋体"/>
          <w:color w:val="000000"/>
          <w:kern w:val="0"/>
          <w:sz w:val="24"/>
        </w:rPr>
        <w:t>个月，在质量保证期内设备运行发生故障时，乙方在接到甲方故障通知后</w:t>
      </w:r>
      <w:r>
        <w:rPr>
          <w:rFonts w:hint="eastAsia" w:ascii="宋体" w:hAnsi="宋体" w:cs="宋体"/>
          <w:color w:val="000000"/>
          <w:kern w:val="0"/>
          <w:sz w:val="24"/>
          <w:u w:val="single"/>
        </w:rPr>
        <w:t xml:space="preserve">   </w:t>
      </w:r>
      <w:r>
        <w:rPr>
          <w:rFonts w:hint="eastAsia" w:ascii="宋体" w:hAnsi="宋体" w:cs="宋体"/>
          <w:color w:val="000000"/>
          <w:kern w:val="0"/>
          <w:sz w:val="24"/>
        </w:rPr>
        <w:t>小时内应委派专业技术人员到现场免费提供咨询、维修和更换零部件等服务，并及时填写维修报告（包括故障原因、处理情况及甲方意见等）报甲方备案，若</w:t>
      </w:r>
      <w:r>
        <w:rPr>
          <w:rFonts w:hint="eastAsia" w:ascii="宋体" w:hAnsi="宋体" w:cs="宋体"/>
          <w:color w:val="000000"/>
          <w:kern w:val="0"/>
          <w:sz w:val="24"/>
          <w:u w:val="single"/>
        </w:rPr>
        <w:t xml:space="preserve">     </w:t>
      </w:r>
      <w:r>
        <w:rPr>
          <w:rFonts w:hint="eastAsia" w:ascii="宋体" w:hAnsi="宋体" w:cs="宋体"/>
          <w:color w:val="000000"/>
          <w:kern w:val="0"/>
          <w:sz w:val="24"/>
        </w:rPr>
        <w:t>小时内无法排除故障，则应先提供同档次备用机供甲方使用。其间发生一切费用由乙方承担。质量保证期内乙方有责任对设备进行不定期的巡查检修（可根据乙方投标文件中提供的更优、更合理的维修服务承诺进行修改）。</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乙方对货物提供免费保修外，终身维修。维修费用按</w:t>
      </w:r>
      <w:r>
        <w:rPr>
          <w:rFonts w:hint="eastAsia"/>
          <w:sz w:val="24"/>
        </w:rPr>
        <w:t>零部件价格收取费用</w:t>
      </w:r>
      <w:r>
        <w:rPr>
          <w:rFonts w:hint="eastAsia" w:ascii="宋体" w:hAnsi="宋体" w:cs="宋体"/>
          <w:color w:val="000000"/>
          <w:kern w:val="0"/>
          <w:sz w:val="24"/>
        </w:rPr>
        <w:t>。</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保修期过后，甲方向乙方购置本合同购买货物的配套配件时，乙方应按</w:t>
      </w:r>
      <w:r>
        <w:rPr>
          <w:rFonts w:hint="eastAsia"/>
          <w:sz w:val="24"/>
        </w:rPr>
        <w:t>配件进货价市场价</w:t>
      </w:r>
      <w:r>
        <w:rPr>
          <w:rFonts w:hint="eastAsia" w:ascii="宋体" w:hAnsi="宋体" w:cs="宋体"/>
          <w:color w:val="000000"/>
          <w:kern w:val="0"/>
          <w:sz w:val="24"/>
          <w:u w:val="single"/>
        </w:rPr>
        <w:t xml:space="preserve">   </w:t>
      </w:r>
      <w:r>
        <w:rPr>
          <w:rFonts w:hint="eastAsia" w:ascii="宋体" w:hAnsi="宋体" w:cs="宋体"/>
          <w:color w:val="000000"/>
          <w:kern w:val="0"/>
          <w:sz w:val="24"/>
        </w:rPr>
        <w:t>%折扣优惠出售。</w:t>
      </w:r>
    </w:p>
    <w:p>
      <w:pPr>
        <w:widowControl/>
        <w:shd w:val="clear" w:color="auto" w:fill="FFFFFF"/>
        <w:spacing w:line="440" w:lineRule="atLeast"/>
        <w:jc w:val="left"/>
        <w:rPr>
          <w:rFonts w:ascii="宋体" w:hAnsi="宋体" w:cs="宋体"/>
          <w:color w:val="000000"/>
          <w:kern w:val="0"/>
          <w:sz w:val="24"/>
        </w:rPr>
      </w:pPr>
      <w:r>
        <w:rPr>
          <w:rFonts w:hint="eastAsia" w:ascii="宋体" w:hAnsi="宋体" w:cs="宋体"/>
          <w:color w:val="000000"/>
          <w:kern w:val="0"/>
          <w:sz w:val="24"/>
        </w:rPr>
        <w:t>9、中标服务费</w:t>
      </w:r>
    </w:p>
    <w:p>
      <w:pPr>
        <w:tabs>
          <w:tab w:val="left" w:pos="525"/>
          <w:tab w:val="left" w:pos="735"/>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中标人须向招标人交纳合同总金额的1.0%作为中标服务费，中标服务费在合同签订后的10天内汇入以下账号：</w:t>
      </w:r>
      <w:r>
        <w:rPr>
          <w:rFonts w:hint="eastAsia"/>
          <w:color w:val="FF0000"/>
          <w:sz w:val="24"/>
        </w:rPr>
        <w:t>嘉庚创新实验室 4100021709224906028 工行厦门厦大支行。</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10、知识产权</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乙方须保障甲方在使用该货物或其任何一部分时不受到第三方关于侵犯专利权、商标权或工业设计权等知识产权的指控。任何第三方提出侵权指控与甲方无关，乙方须与第三方交涉并承担可能发生的责任与一切费用。如甲方因此而遭致损失的，乙方应赔偿该损失。</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11、违约责任</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11.1未按期交货的违约责任</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如果乙方未按照合同规定的时间交货和提供服务</w:t>
      </w:r>
      <w:r>
        <w:rPr>
          <w:rFonts w:hint="eastAsia" w:ascii="宋体" w:hAnsi="宋体" w:cs="宋体"/>
          <w:color w:val="FF0000"/>
          <w:kern w:val="0"/>
          <w:sz w:val="24"/>
        </w:rPr>
        <w:t>，甲方可不退还履约保证金并从货款中扣除违约赔偿费，违约金应按合同总价的5‰/日计收。</w:t>
      </w:r>
    </w:p>
    <w:p>
      <w:pPr>
        <w:widowControl/>
        <w:shd w:val="clear" w:color="auto" w:fill="FFFFFF"/>
        <w:spacing w:line="440" w:lineRule="atLeast"/>
        <w:ind w:firstLine="480"/>
        <w:jc w:val="left"/>
        <w:rPr>
          <w:rFonts w:ascii="宋体" w:hAnsi="宋体" w:cs="宋体"/>
          <w:color w:val="000000"/>
          <w:kern w:val="0"/>
          <w:sz w:val="24"/>
        </w:rPr>
      </w:pPr>
      <w:r>
        <w:rPr>
          <w:rFonts w:ascii="宋体" w:hAnsi="宋体" w:cs="宋体"/>
          <w:color w:val="000000"/>
          <w:kern w:val="0"/>
          <w:sz w:val="24"/>
        </w:rPr>
        <w:t>11.2未按时付款的违约责任</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如果甲方未按照合同规定的时间付款，</w:t>
      </w:r>
      <w:r>
        <w:rPr>
          <w:rFonts w:hint="eastAsia" w:ascii="宋体" w:hAnsi="宋体" w:cs="宋体"/>
          <w:color w:val="FF0000"/>
          <w:kern w:val="0"/>
          <w:sz w:val="24"/>
        </w:rPr>
        <w:t>违约金应按未支付金额的</w:t>
      </w:r>
      <w:r>
        <w:rPr>
          <w:rFonts w:ascii="宋体" w:hAnsi="宋体" w:cs="宋体"/>
          <w:color w:val="FF0000"/>
          <w:kern w:val="0"/>
          <w:sz w:val="24"/>
        </w:rPr>
        <w:t>5‰/日</w:t>
      </w:r>
      <w:r>
        <w:rPr>
          <w:rFonts w:hint="eastAsia" w:ascii="宋体" w:hAnsi="宋体" w:cs="宋体"/>
          <w:color w:val="FF0000"/>
          <w:kern w:val="0"/>
          <w:sz w:val="24"/>
        </w:rPr>
        <w:t>计收，总违约金不超过合同总价的</w:t>
      </w:r>
      <w:r>
        <w:rPr>
          <w:rFonts w:ascii="宋体" w:hAnsi="宋体" w:cs="宋体"/>
          <w:color w:val="FF0000"/>
          <w:kern w:val="0"/>
          <w:sz w:val="24"/>
        </w:rPr>
        <w:t>30%</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12、终止合同</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在补救违约而采取的任何其他措施未能实现的情况下，即在甲方发出的违约通知后30天内（或经甲方书面确认的更长时间内）仍未纠正其下述任何一种违约行为，甲方有权向乙方发出书面通知，终止本合同：</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12.1如果乙方未能在合同规定的期限内或双方另行确定的延期交货时间内交付合同约定的货物。</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12.2乙方未能履行合同项下的任何其他义务。</w:t>
      </w:r>
    </w:p>
    <w:p>
      <w:pPr>
        <w:widowControl/>
        <w:shd w:val="clear" w:color="auto" w:fill="FFFFFF"/>
        <w:spacing w:line="440" w:lineRule="atLeast"/>
        <w:ind w:firstLine="120"/>
        <w:jc w:val="left"/>
        <w:rPr>
          <w:rFonts w:ascii="宋体" w:hAnsi="宋体" w:cs="宋体"/>
          <w:color w:val="000000"/>
          <w:kern w:val="0"/>
          <w:szCs w:val="21"/>
        </w:rPr>
      </w:pPr>
      <w:r>
        <w:rPr>
          <w:rFonts w:hint="eastAsia" w:ascii="宋体" w:hAnsi="宋体" w:cs="宋体"/>
          <w:color w:val="000000"/>
          <w:kern w:val="0"/>
          <w:sz w:val="24"/>
        </w:rPr>
        <w:t>13、不可抗力</w:t>
      </w:r>
    </w:p>
    <w:p>
      <w:pPr>
        <w:widowControl/>
        <w:shd w:val="clear" w:color="auto" w:fill="FFFFFF"/>
        <w:spacing w:line="440" w:lineRule="atLeast"/>
        <w:ind w:firstLine="480"/>
        <w:jc w:val="left"/>
        <w:rPr>
          <w:rFonts w:ascii="宋体" w:hAnsi="宋体"/>
          <w:sz w:val="24"/>
        </w:rPr>
      </w:pPr>
      <w:r>
        <w:rPr>
          <w:rFonts w:hint="eastAsia" w:ascii="宋体" w:hAnsi="宋体" w:cs="宋体"/>
          <w:color w:val="000000"/>
          <w:kern w:val="0"/>
          <w:sz w:val="24"/>
        </w:rPr>
        <w:t>因不可抗力造成违约的，遭受不可抗力一方应立即书面向对方通报不能履行或不能完全履行的理由，并在该事件发生15日内向另一方提供不可抗力发生以及持续期间的充分证据。基于以上行为，允许遭受不可抗力一方延期履行、部分履行或者不履行合同，并根据情况可部分或全部免于承担违约责任。</w:t>
      </w:r>
      <w:r>
        <w:rPr>
          <w:rFonts w:hint="eastAsia" w:ascii="宋体" w:hAnsi="宋体"/>
          <w:sz w:val="24"/>
        </w:rPr>
        <w:t>受影响方应在不可抗力对其履行义务的影响结束后的24小时内就此通知另一方，并应立即恢复其义务的履行。</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sz w:val="24"/>
        </w:rPr>
        <w:t>如果不可抗力持续六个月以上，任何一方可以通过向另一方发出书面通知的形式终止本合同及因不可抗力的影响而未履行完毕的订单，本合同及因不可抗力的影响而未履行完毕的订单于该等通知送达另一方时终止，依据本款规定而发出终止通知并不构成违约。</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14、合同纠纷处理方式：合同履行过程中若发生争议，采取协商解决，若协商不成时向甲方所在地人民法院提起诉讼。</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15、其他约定</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15.1本采购项目的招标文件、中标人的投标文件以及相关的澄清确认函（如有）均为本合同不可分割的一部分，与本合同具有同等法律效力。</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15.2乙方应做好生产、运输、拆卸、安装、调试等安全管理工作，为相关人员、设备、车辆购买保险，如果在全部货物调试完毕交付甲方使用之前发生任何安全责任事故，乙方须承担全部责任，与甲方无关。</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15.3本合同未尽事宜，双方另行补充。</w:t>
      </w:r>
    </w:p>
    <w:p>
      <w:pPr>
        <w:tabs>
          <w:tab w:val="left" w:pos="525"/>
          <w:tab w:val="left" w:pos="735"/>
        </w:tabs>
        <w:spacing w:line="360" w:lineRule="auto"/>
        <w:ind w:firstLine="480" w:firstLineChars="200"/>
        <w:rPr>
          <w:sz w:val="24"/>
        </w:rPr>
      </w:pPr>
      <w:r>
        <w:rPr>
          <w:rFonts w:hint="eastAsia" w:ascii="宋体" w:hAnsi="宋体" w:cs="宋体"/>
          <w:color w:val="000000"/>
          <w:kern w:val="0"/>
          <w:sz w:val="24"/>
        </w:rPr>
        <w:t>15.4本合同一式肆份，经双方授权代表签字并加盖公章后生效。使用单位、乙方各执一份，送嘉庚创新实验室资产采购管理室、财务处各备案一份，具有同等法律效力。</w:t>
      </w:r>
    </w:p>
    <w:p>
      <w:pPr>
        <w:spacing w:line="460" w:lineRule="exact"/>
        <w:ind w:left="-540" w:leftChars="-257"/>
        <w:jc w:val="left"/>
        <w:rPr>
          <w:sz w:val="24"/>
        </w:rPr>
      </w:pPr>
      <w:r>
        <w:rPr>
          <w:rFonts w:hint="eastAsia"/>
          <w:sz w:val="24"/>
        </w:rPr>
        <w:t xml:space="preserve">甲方：嘉庚创新实验室 </w:t>
      </w:r>
      <w:r>
        <w:rPr>
          <w:rFonts w:hint="eastAsia"/>
          <w:bCs/>
          <w:sz w:val="24"/>
        </w:rPr>
        <w:t xml:space="preserve">       </w:t>
      </w:r>
      <w:r>
        <w:rPr>
          <w:rFonts w:hint="eastAsia"/>
          <w:sz w:val="24"/>
        </w:rPr>
        <w:t xml:space="preserve">            乙方： </w:t>
      </w:r>
    </w:p>
    <w:p>
      <w:pPr>
        <w:spacing w:line="460" w:lineRule="exact"/>
        <w:ind w:left="-179" w:leftChars="-257" w:hanging="361"/>
        <w:jc w:val="left"/>
        <w:rPr>
          <w:sz w:val="24"/>
        </w:rPr>
      </w:pPr>
      <w:r>
        <w:rPr>
          <w:rFonts w:hint="eastAsia"/>
          <w:sz w:val="24"/>
        </w:rPr>
        <w:t>签约代表：                              代表：</w:t>
      </w:r>
    </w:p>
    <w:p>
      <w:pPr>
        <w:spacing w:line="460" w:lineRule="exact"/>
        <w:ind w:left="-179" w:leftChars="-257" w:hanging="361"/>
        <w:jc w:val="left"/>
        <w:rPr>
          <w:sz w:val="24"/>
        </w:rPr>
      </w:pPr>
      <w:r>
        <w:rPr>
          <w:rFonts w:hint="eastAsia"/>
          <w:sz w:val="24"/>
        </w:rPr>
        <w:t xml:space="preserve">开户行：工行厦门厦大支行                开户行： </w:t>
      </w:r>
    </w:p>
    <w:p>
      <w:pPr>
        <w:spacing w:line="460" w:lineRule="exact"/>
        <w:ind w:left="-179" w:leftChars="-257" w:hanging="361"/>
        <w:jc w:val="left"/>
        <w:rPr>
          <w:sz w:val="24"/>
        </w:rPr>
      </w:pPr>
      <w:r>
        <w:rPr>
          <w:rFonts w:hint="eastAsia" w:ascii="宋体" w:hAnsi="宋体"/>
          <w:sz w:val="24"/>
        </w:rPr>
        <w:t>纳税人识别号：12350000MB1C15088Q</w:t>
      </w:r>
      <w:r>
        <w:rPr>
          <w:rFonts w:hint="eastAsia"/>
          <w:sz w:val="24"/>
        </w:rPr>
        <w:t xml:space="preserve">        账号： </w:t>
      </w:r>
    </w:p>
    <w:p>
      <w:pPr>
        <w:spacing w:line="460" w:lineRule="exact"/>
        <w:ind w:left="-179" w:leftChars="-257" w:hanging="361"/>
        <w:jc w:val="left"/>
        <w:rPr>
          <w:sz w:val="24"/>
        </w:rPr>
      </w:pPr>
      <w:r>
        <w:rPr>
          <w:rFonts w:hint="eastAsia"/>
          <w:sz w:val="24"/>
        </w:rPr>
        <w:t>合同邮寄地址：厦门大学翔安校区能源      地址：</w:t>
      </w:r>
    </w:p>
    <w:p>
      <w:pPr>
        <w:spacing w:line="460" w:lineRule="exact"/>
        <w:ind w:left="-179" w:leftChars="-257" w:hanging="361"/>
        <w:jc w:val="left"/>
        <w:rPr>
          <w:sz w:val="24"/>
        </w:rPr>
      </w:pPr>
      <w:r>
        <w:rPr>
          <w:rFonts w:hint="eastAsia"/>
          <w:sz w:val="24"/>
        </w:rPr>
        <w:t xml:space="preserve">材料大楼3404室                         </w:t>
      </w:r>
      <w:r>
        <w:rPr>
          <w:rFonts w:hint="eastAsia" w:ascii="宋体" w:hAnsi="宋体"/>
          <w:sz w:val="24"/>
        </w:rPr>
        <w:t xml:space="preserve"> </w:t>
      </w:r>
    </w:p>
    <w:p>
      <w:pPr>
        <w:spacing w:line="460" w:lineRule="exact"/>
        <w:ind w:left="-179" w:leftChars="-257" w:hanging="361"/>
        <w:jc w:val="left"/>
        <w:rPr>
          <w:sz w:val="24"/>
        </w:rPr>
      </w:pPr>
      <w:r>
        <w:rPr>
          <w:rFonts w:hint="eastAsia"/>
          <w:sz w:val="24"/>
        </w:rPr>
        <w:t xml:space="preserve">电话：0592-2882502                      移动电话: </w:t>
      </w:r>
    </w:p>
    <w:p>
      <w:pPr>
        <w:spacing w:line="460" w:lineRule="exact"/>
        <w:ind w:left="-179" w:leftChars="-257" w:hanging="361"/>
        <w:jc w:val="left"/>
        <w:rPr>
          <w:sz w:val="24"/>
        </w:rPr>
      </w:pPr>
      <w:r>
        <w:rPr>
          <w:rFonts w:hint="eastAsia"/>
          <w:sz w:val="24"/>
        </w:rPr>
        <w:t>使用方：</w:t>
      </w:r>
    </w:p>
    <w:p>
      <w:pPr>
        <w:spacing w:line="460" w:lineRule="exact"/>
        <w:ind w:left="-179" w:leftChars="-257" w:hanging="361"/>
        <w:jc w:val="left"/>
        <w:rPr>
          <w:sz w:val="24"/>
        </w:rPr>
      </w:pPr>
      <w:r>
        <w:rPr>
          <w:rFonts w:hint="eastAsia"/>
          <w:sz w:val="24"/>
        </w:rPr>
        <w:t>使用方代表及电话：</w:t>
      </w:r>
    </w:p>
    <w:p>
      <w:pPr>
        <w:spacing w:line="460" w:lineRule="exact"/>
        <w:ind w:left="-179" w:leftChars="-257" w:hanging="361"/>
        <w:jc w:val="left"/>
        <w:rPr>
          <w:b/>
          <w:sz w:val="44"/>
          <w:szCs w:val="44"/>
        </w:rPr>
      </w:pPr>
      <w:r>
        <w:rPr>
          <w:rFonts w:hint="eastAsia"/>
          <w:sz w:val="24"/>
        </w:rPr>
        <w:t xml:space="preserve">收货地址：本合同签订日期：  年  月  日    </w:t>
      </w: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2">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4">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E0053EF"/>
    <w:multiLevelType w:val="multilevel"/>
    <w:tmpl w:val="3E0053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6"/>
  </w:num>
  <w:num w:numId="2">
    <w:abstractNumId w:val="8"/>
  </w:num>
  <w:num w:numId="3">
    <w:abstractNumId w:val="3"/>
  </w:num>
  <w:num w:numId="4">
    <w:abstractNumId w:val="5"/>
  </w:num>
  <w:num w:numId="5">
    <w:abstractNumId w:val="7"/>
  </w:num>
  <w:num w:numId="6">
    <w:abstractNumId w:val="9"/>
  </w:num>
  <w:num w:numId="7">
    <w:abstractNumId w:val="4"/>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80244"/>
    <w:rsid w:val="000A473E"/>
    <w:rsid w:val="000D16EE"/>
    <w:rsid w:val="000F3864"/>
    <w:rsid w:val="00111B2D"/>
    <w:rsid w:val="0013555B"/>
    <w:rsid w:val="00143854"/>
    <w:rsid w:val="001A5CE4"/>
    <w:rsid w:val="001F0072"/>
    <w:rsid w:val="002024AD"/>
    <w:rsid w:val="00271E4F"/>
    <w:rsid w:val="00363E7F"/>
    <w:rsid w:val="003952B5"/>
    <w:rsid w:val="003A7214"/>
    <w:rsid w:val="003B5EF3"/>
    <w:rsid w:val="003E17BF"/>
    <w:rsid w:val="00404174"/>
    <w:rsid w:val="004443A9"/>
    <w:rsid w:val="00454B35"/>
    <w:rsid w:val="00466E9E"/>
    <w:rsid w:val="004F204B"/>
    <w:rsid w:val="004F2137"/>
    <w:rsid w:val="0050790C"/>
    <w:rsid w:val="00515C0E"/>
    <w:rsid w:val="005E39D7"/>
    <w:rsid w:val="00607AB4"/>
    <w:rsid w:val="006216EC"/>
    <w:rsid w:val="00666B09"/>
    <w:rsid w:val="006728FA"/>
    <w:rsid w:val="00675A1F"/>
    <w:rsid w:val="006B03C3"/>
    <w:rsid w:val="006D1705"/>
    <w:rsid w:val="00724054"/>
    <w:rsid w:val="00756C6B"/>
    <w:rsid w:val="00786041"/>
    <w:rsid w:val="0083518E"/>
    <w:rsid w:val="008B7766"/>
    <w:rsid w:val="008F7026"/>
    <w:rsid w:val="00926E68"/>
    <w:rsid w:val="00986620"/>
    <w:rsid w:val="00987B37"/>
    <w:rsid w:val="009A147A"/>
    <w:rsid w:val="009B120D"/>
    <w:rsid w:val="00A20425"/>
    <w:rsid w:val="00A33A9C"/>
    <w:rsid w:val="00A344A9"/>
    <w:rsid w:val="00A40C44"/>
    <w:rsid w:val="00A47D6B"/>
    <w:rsid w:val="00A9547E"/>
    <w:rsid w:val="00AE539C"/>
    <w:rsid w:val="00AF6147"/>
    <w:rsid w:val="00B2170A"/>
    <w:rsid w:val="00B777BC"/>
    <w:rsid w:val="00BE4315"/>
    <w:rsid w:val="00C21064"/>
    <w:rsid w:val="00C3212D"/>
    <w:rsid w:val="00CF7445"/>
    <w:rsid w:val="00D2251F"/>
    <w:rsid w:val="00D26206"/>
    <w:rsid w:val="00D54DBB"/>
    <w:rsid w:val="00D862E1"/>
    <w:rsid w:val="00DD0133"/>
    <w:rsid w:val="00E374FB"/>
    <w:rsid w:val="00E57DF0"/>
    <w:rsid w:val="00E758C5"/>
    <w:rsid w:val="00EA7473"/>
    <w:rsid w:val="00EC6923"/>
    <w:rsid w:val="00EE17BD"/>
    <w:rsid w:val="00EE1B72"/>
    <w:rsid w:val="00EE574B"/>
    <w:rsid w:val="00EE7C8F"/>
    <w:rsid w:val="00EF6FE7"/>
    <w:rsid w:val="00F32034"/>
    <w:rsid w:val="00F86D5A"/>
    <w:rsid w:val="00FA57DF"/>
    <w:rsid w:val="0BE03768"/>
    <w:rsid w:val="124C124F"/>
    <w:rsid w:val="12B341EA"/>
    <w:rsid w:val="19DC45B9"/>
    <w:rsid w:val="1CD91C97"/>
    <w:rsid w:val="2ADA0F0C"/>
    <w:rsid w:val="2DA57A2F"/>
    <w:rsid w:val="2DDB6773"/>
    <w:rsid w:val="2EA64C67"/>
    <w:rsid w:val="326B7E8B"/>
    <w:rsid w:val="3375635B"/>
    <w:rsid w:val="34826751"/>
    <w:rsid w:val="36D36FF4"/>
    <w:rsid w:val="376357E1"/>
    <w:rsid w:val="39F4487A"/>
    <w:rsid w:val="4A8D603B"/>
    <w:rsid w:val="50275A13"/>
    <w:rsid w:val="578B162C"/>
    <w:rsid w:val="61264F5A"/>
    <w:rsid w:val="62170FA9"/>
    <w:rsid w:val="699924A6"/>
    <w:rsid w:val="6BE76F67"/>
    <w:rsid w:val="6D82743B"/>
    <w:rsid w:val="6EB56E53"/>
    <w:rsid w:val="7CF65263"/>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Plain Text"/>
    <w:basedOn w:val="1"/>
    <w:link w:val="13"/>
    <w:qFormat/>
    <w:uiPriority w:val="0"/>
    <w:rPr>
      <w:rFonts w:ascii="宋体" w:hAnsi="Courier New" w:cs="Courier New"/>
      <w:szCs w:val="21"/>
    </w:rPr>
  </w:style>
  <w:style w:type="paragraph" w:styleId="5">
    <w:name w:val="Body Text Indent 2"/>
    <w:basedOn w:val="1"/>
    <w:link w:val="14"/>
    <w:unhideWhenUsed/>
    <w:qFormat/>
    <w:uiPriority w:val="0"/>
    <w:pPr>
      <w:spacing w:after="120" w:line="480" w:lineRule="auto"/>
      <w:ind w:left="420" w:leftChars="200"/>
    </w:pPr>
  </w:style>
  <w:style w:type="paragraph" w:styleId="6">
    <w:name w:val="Balloon Text"/>
    <w:basedOn w:val="1"/>
    <w:link w:val="21"/>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36" w:after="68"/>
      <w:jc w:val="left"/>
    </w:pPr>
    <w:rPr>
      <w:rFonts w:ascii="Verdana" w:hAnsi="Verdana" w:cs="宋体"/>
      <w:color w:val="333333"/>
      <w:kern w:val="0"/>
      <w:sz w:val="16"/>
      <w:szCs w:val="16"/>
    </w:rPr>
  </w:style>
  <w:style w:type="character" w:customStyle="1" w:styleId="12">
    <w:name w:val="标题 1 字符"/>
    <w:basedOn w:val="11"/>
    <w:link w:val="2"/>
    <w:qFormat/>
    <w:uiPriority w:val="99"/>
    <w:rPr>
      <w:rFonts w:ascii="宋体" w:hAnsi="Times New Roman" w:eastAsia="宋体" w:cs="Times New Roman"/>
      <w:b/>
      <w:kern w:val="44"/>
      <w:sz w:val="32"/>
      <w:szCs w:val="20"/>
    </w:rPr>
  </w:style>
  <w:style w:type="character" w:customStyle="1" w:styleId="13">
    <w:name w:val="纯文本 字符"/>
    <w:basedOn w:val="11"/>
    <w:link w:val="4"/>
    <w:qFormat/>
    <w:uiPriority w:val="0"/>
    <w:rPr>
      <w:rFonts w:ascii="宋体" w:hAnsi="Courier New" w:eastAsia="宋体" w:cs="Courier New"/>
      <w:szCs w:val="21"/>
    </w:rPr>
  </w:style>
  <w:style w:type="character" w:customStyle="1" w:styleId="14">
    <w:name w:val="正文文本缩进 2 字符"/>
    <w:basedOn w:val="11"/>
    <w:link w:val="5"/>
    <w:qFormat/>
    <w:uiPriority w:val="0"/>
    <w:rPr>
      <w:rFonts w:ascii="Times New Roman" w:hAnsi="Times New Roman" w:eastAsia="宋体" w:cs="Times New Roman"/>
      <w:szCs w:val="24"/>
    </w:rPr>
  </w:style>
  <w:style w:type="character" w:customStyle="1" w:styleId="15">
    <w:name w:val="页脚 字符"/>
    <w:basedOn w:val="11"/>
    <w:link w:val="7"/>
    <w:qFormat/>
    <w:uiPriority w:val="99"/>
    <w:rPr>
      <w:rFonts w:ascii="Times New Roman" w:hAnsi="Times New Roman" w:eastAsia="宋体" w:cs="Times New Roman"/>
      <w:sz w:val="18"/>
      <w:szCs w:val="18"/>
    </w:rPr>
  </w:style>
  <w:style w:type="character" w:customStyle="1" w:styleId="16">
    <w:name w:val="页眉 字符"/>
    <w:basedOn w:val="11"/>
    <w:link w:val="8"/>
    <w:qFormat/>
    <w:uiPriority w:val="99"/>
    <w:rPr>
      <w:rFonts w:ascii="Times New Roman" w:hAnsi="Times New Roman" w:eastAsia="宋体" w:cs="Times New Roman"/>
      <w:sz w:val="18"/>
      <w:szCs w:val="18"/>
    </w:rPr>
  </w:style>
  <w:style w:type="paragraph" w:customStyle="1" w:styleId="17">
    <w:name w:val="列出段落1"/>
    <w:basedOn w:val="1"/>
    <w:qFormat/>
    <w:uiPriority w:val="34"/>
    <w:pPr>
      <w:ind w:firstLine="420" w:firstLineChars="200"/>
    </w:pPr>
  </w:style>
  <w:style w:type="paragraph" w:customStyle="1" w:styleId="18">
    <w:name w:val="样式1"/>
    <w:basedOn w:val="4"/>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19">
    <w:name w:val="p0"/>
    <w:basedOn w:val="1"/>
    <w:qFormat/>
    <w:uiPriority w:val="0"/>
    <w:pPr>
      <w:widowControl/>
    </w:pPr>
    <w:rPr>
      <w:kern w:val="0"/>
      <w:szCs w:val="21"/>
    </w:rPr>
  </w:style>
  <w:style w:type="paragraph" w:styleId="2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1">
    <w:name w:val="批注框文本 字符"/>
    <w:basedOn w:val="11"/>
    <w:link w:val="6"/>
    <w:semiHidden/>
    <w:qFormat/>
    <w:uiPriority w:val="99"/>
    <w:rPr>
      <w:rFonts w:ascii="Times New Roman" w:hAnsi="Times New Roman" w:eastAsia="宋体" w:cs="Times New Roman"/>
      <w:sz w:val="18"/>
      <w:szCs w:val="18"/>
    </w:rPr>
  </w:style>
  <w:style w:type="paragraph" w:customStyle="1" w:styleId="22">
    <w:name w:val="样式3"/>
    <w:basedOn w:val="4"/>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22923-BB27-4A70-9A53-84F8D9EC51E4}">
  <ds:schemaRefs/>
</ds:datastoreItem>
</file>

<file path=docProps/app.xml><?xml version="1.0" encoding="utf-8"?>
<Properties xmlns="http://schemas.openxmlformats.org/officeDocument/2006/extended-properties" xmlns:vt="http://schemas.openxmlformats.org/officeDocument/2006/docPropsVTypes">
  <Template>Normal</Template>
  <Pages>32</Pages>
  <Words>2633</Words>
  <Characters>15011</Characters>
  <Lines>125</Lines>
  <Paragraphs>35</Paragraphs>
  <TotalTime>108</TotalTime>
  <ScaleCrop>false</ScaleCrop>
  <LinksUpToDate>false</LinksUpToDate>
  <CharactersWithSpaces>17609</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2020-10-12T03:16:00Z</dcterms:created>
  <dc:creator>朱水林</dc:creator>
  <cp:lastModifiedBy>ICBC</cp:lastModifiedBy>
  <dcterms:modified xsi:type="dcterms:W3CDTF">2020-10-28T01:47:41Z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